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9"/>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3398"/>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广元市社会科学界联合会</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r>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eastAsia="zh-CN" w:bidi="ar"/>
          <w14:textFill>
            <w14:solidFill>
              <w14:schemeClr w14:val="tx1"/>
            </w14:solidFill>
          </w14:textFill>
        </w:rPr>
        <w:t>单位</w: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62766"/>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00" w:lineRule="auto"/>
            <w:rPr>
              <w:b/>
            </w:rPr>
          </w:pPr>
          <w:r>
            <w:fldChar w:fldCharType="begin"/>
          </w:r>
          <w:r>
            <w:instrText xml:space="preserve">TOC \o "1-2" \h \u </w:instrText>
          </w:r>
          <w:r>
            <w:fldChar w:fldCharType="separate"/>
          </w:r>
        </w:p>
        <w:p>
          <w:pPr>
            <w:pStyle w:val="15"/>
            <w:tabs>
              <w:tab w:val="right" w:leader="dot" w:pos="8845"/>
            </w:tabs>
            <w:spacing w:line="300" w:lineRule="auto"/>
            <w:rPr>
              <w:b/>
            </w:rPr>
          </w:pPr>
          <w:r>
            <w:rPr>
              <w:b/>
            </w:rPr>
            <w:fldChar w:fldCharType="begin"/>
          </w:r>
          <w:r>
            <w:rPr>
              <w:b/>
            </w:rPr>
            <w:instrText xml:space="preserve"> HYPERLINK \l _Toc4663 </w:instrText>
          </w:r>
          <w:r>
            <w:rPr>
              <w:b/>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_Toc4663 \h </w:instrText>
          </w:r>
          <w:r>
            <w:rPr>
              <w:b/>
            </w:rPr>
            <w:fldChar w:fldCharType="separate"/>
          </w:r>
          <w:r>
            <w:rPr>
              <w:b/>
            </w:rPr>
            <w:t>3</w:t>
          </w:r>
          <w:r>
            <w:rPr>
              <w:b/>
            </w:rPr>
            <w:fldChar w:fldCharType="end"/>
          </w:r>
          <w:r>
            <w:rPr>
              <w:b/>
            </w:rPr>
            <w:fldChar w:fldCharType="end"/>
          </w:r>
        </w:p>
        <w:p>
          <w:pPr>
            <w:pStyle w:val="16"/>
            <w:tabs>
              <w:tab w:val="right" w:leader="dot" w:pos="8845"/>
            </w:tabs>
            <w:spacing w:line="300" w:lineRule="auto"/>
          </w:pPr>
          <w:r>
            <w:fldChar w:fldCharType="begin"/>
          </w:r>
          <w:r>
            <w:instrText xml:space="preserve"> HYPERLINK \l _Toc14205 </w:instrText>
          </w:r>
          <w: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广元市社会科学界联合会</w:t>
          </w:r>
          <w:r>
            <w:rPr>
              <w:rFonts w:hint="eastAsia" w:ascii="楷体_GB2312" w:hAnsi="楷体_GB2312" w:eastAsia="楷体_GB2312" w:cs="楷体_GB2312"/>
              <w:szCs w:val="32"/>
            </w:rPr>
            <w:t>职能简介</w:t>
          </w:r>
          <w:r>
            <w:tab/>
          </w:r>
          <w:r>
            <w:fldChar w:fldCharType="begin"/>
          </w:r>
          <w:r>
            <w:instrText xml:space="preserve"> PAGEREF _Toc14205 \h </w:instrText>
          </w:r>
          <w:r>
            <w:fldChar w:fldCharType="separate"/>
          </w:r>
          <w:r>
            <w:t>3</w:t>
          </w:r>
          <w:r>
            <w:fldChar w:fldCharType="end"/>
          </w:r>
          <w:r>
            <w:fldChar w:fldCharType="end"/>
          </w:r>
        </w:p>
        <w:p>
          <w:pPr>
            <w:pStyle w:val="16"/>
            <w:tabs>
              <w:tab w:val="right" w:leader="dot" w:pos="8845"/>
            </w:tabs>
            <w:spacing w:line="300" w:lineRule="auto"/>
          </w:pPr>
          <w:r>
            <w:fldChar w:fldCharType="begin"/>
          </w:r>
          <w:r>
            <w:instrText xml:space="preserve"> HYPERLINK \l _Toc19787 </w:instrText>
          </w:r>
          <w: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广元市社会科学界联合会</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_Toc19787 \h </w:instrText>
          </w:r>
          <w:r>
            <w:fldChar w:fldCharType="separate"/>
          </w:r>
          <w:r>
            <w:t>4</w:t>
          </w:r>
          <w:r>
            <w:fldChar w:fldCharType="end"/>
          </w:r>
          <w:r>
            <w:fldChar w:fldCharType="end"/>
          </w:r>
        </w:p>
        <w:p>
          <w:pPr>
            <w:pStyle w:val="15"/>
            <w:tabs>
              <w:tab w:val="right" w:leader="dot" w:pos="8845"/>
            </w:tabs>
            <w:spacing w:line="300" w:lineRule="auto"/>
            <w:rPr>
              <w:b/>
            </w:rPr>
          </w:pPr>
          <w:r>
            <w:rPr>
              <w:b/>
            </w:rPr>
            <w:fldChar w:fldCharType="begin"/>
          </w:r>
          <w:r>
            <w:rPr>
              <w:b/>
            </w:rPr>
            <w:instrText xml:space="preserve"> HYPERLINK \l _Toc26800 </w:instrText>
          </w:r>
          <w:r>
            <w:rPr>
              <w:b/>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_Toc26800 \h </w:instrText>
          </w:r>
          <w:r>
            <w:rPr>
              <w:b/>
            </w:rPr>
            <w:fldChar w:fldCharType="separate"/>
          </w:r>
          <w:r>
            <w:rPr>
              <w:b/>
            </w:rPr>
            <w:t>4</w:t>
          </w:r>
          <w:r>
            <w:rPr>
              <w:b/>
            </w:rPr>
            <w:fldChar w:fldCharType="end"/>
          </w:r>
          <w:r>
            <w:rPr>
              <w:b/>
            </w:rPr>
            <w:fldChar w:fldCharType="end"/>
          </w:r>
        </w:p>
        <w:p>
          <w:pPr>
            <w:pStyle w:val="15"/>
            <w:tabs>
              <w:tab w:val="right" w:leader="dot" w:pos="8845"/>
            </w:tabs>
            <w:spacing w:line="300" w:lineRule="auto"/>
            <w:rPr>
              <w:b/>
            </w:rPr>
          </w:pPr>
          <w:r>
            <w:rPr>
              <w:b/>
            </w:rPr>
            <w:fldChar w:fldCharType="begin"/>
          </w:r>
          <w:r>
            <w:rPr>
              <w:b/>
            </w:rPr>
            <w:instrText xml:space="preserve"> HYPERLINK \l _Toc30462 </w:instrText>
          </w:r>
          <w:r>
            <w:rPr>
              <w:b/>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_Toc30462 \h </w:instrText>
          </w:r>
          <w:r>
            <w:rPr>
              <w:b/>
            </w:rPr>
            <w:fldChar w:fldCharType="separate"/>
          </w:r>
          <w:r>
            <w:rPr>
              <w:b/>
            </w:rPr>
            <w:t>4</w:t>
          </w:r>
          <w:r>
            <w:rPr>
              <w:b/>
            </w:rPr>
            <w:fldChar w:fldCharType="end"/>
          </w:r>
          <w:r>
            <w:rPr>
              <w:b/>
            </w:rPr>
            <w:fldChar w:fldCharType="end"/>
          </w:r>
        </w:p>
        <w:p>
          <w:pPr>
            <w:pStyle w:val="16"/>
            <w:tabs>
              <w:tab w:val="right" w:leader="dot" w:pos="8845"/>
            </w:tabs>
            <w:spacing w:line="300" w:lineRule="auto"/>
          </w:pPr>
          <w:r>
            <w:fldChar w:fldCharType="begin"/>
          </w:r>
          <w:r>
            <w:instrText xml:space="preserve"> HYPERLINK \l _Toc1485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_Toc1485 \h </w:instrText>
          </w:r>
          <w:r>
            <w:fldChar w:fldCharType="separate"/>
          </w:r>
          <w:r>
            <w:t>5</w:t>
          </w:r>
          <w:r>
            <w:fldChar w:fldCharType="end"/>
          </w:r>
          <w:r>
            <w:fldChar w:fldCharType="end"/>
          </w:r>
        </w:p>
        <w:p>
          <w:pPr>
            <w:pStyle w:val="16"/>
            <w:tabs>
              <w:tab w:val="right" w:leader="dot" w:pos="8845"/>
            </w:tabs>
            <w:spacing w:line="300" w:lineRule="auto"/>
          </w:pPr>
          <w:r>
            <w:fldChar w:fldCharType="begin"/>
          </w:r>
          <w:r>
            <w:instrText xml:space="preserve"> HYPERLINK \l _Toc23206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_Toc23206 \h </w:instrText>
          </w:r>
          <w:r>
            <w:fldChar w:fldCharType="separate"/>
          </w:r>
          <w:r>
            <w:t>5</w:t>
          </w:r>
          <w:r>
            <w:fldChar w:fldCharType="end"/>
          </w:r>
          <w:r>
            <w:fldChar w:fldCharType="end"/>
          </w:r>
        </w:p>
        <w:p>
          <w:pPr>
            <w:pStyle w:val="15"/>
            <w:tabs>
              <w:tab w:val="right" w:leader="dot" w:pos="8845"/>
            </w:tabs>
            <w:spacing w:line="300" w:lineRule="auto"/>
            <w:rPr>
              <w:b/>
            </w:rPr>
          </w:pPr>
          <w:r>
            <w:rPr>
              <w:b/>
            </w:rPr>
            <w:fldChar w:fldCharType="begin"/>
          </w:r>
          <w:r>
            <w:rPr>
              <w:b/>
            </w:rPr>
            <w:instrText xml:space="preserve"> HYPERLINK \l _Toc3323 </w:instrText>
          </w:r>
          <w:r>
            <w:rPr>
              <w:b/>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_Toc3323 \h </w:instrText>
          </w:r>
          <w:r>
            <w:rPr>
              <w:b/>
            </w:rPr>
            <w:fldChar w:fldCharType="separate"/>
          </w:r>
          <w:r>
            <w:rPr>
              <w:b/>
            </w:rPr>
            <w:t>5</w:t>
          </w:r>
          <w:r>
            <w:rPr>
              <w:b/>
            </w:rPr>
            <w:fldChar w:fldCharType="end"/>
          </w:r>
          <w:r>
            <w:rPr>
              <w:b/>
            </w:rPr>
            <w:fldChar w:fldCharType="end"/>
          </w:r>
        </w:p>
        <w:p>
          <w:pPr>
            <w:pStyle w:val="15"/>
            <w:tabs>
              <w:tab w:val="right" w:leader="dot" w:pos="8845"/>
            </w:tabs>
            <w:spacing w:line="300" w:lineRule="auto"/>
            <w:rPr>
              <w:b/>
            </w:rPr>
          </w:pPr>
          <w:r>
            <w:rPr>
              <w:b/>
            </w:rPr>
            <w:fldChar w:fldCharType="begin"/>
          </w:r>
          <w:r>
            <w:rPr>
              <w:b/>
            </w:rPr>
            <w:instrText xml:space="preserve"> HYPERLINK \l _Toc1357 </w:instrText>
          </w:r>
          <w:r>
            <w:rPr>
              <w:b/>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_Toc1357 \h </w:instrText>
          </w:r>
          <w:r>
            <w:rPr>
              <w:b/>
            </w:rPr>
            <w:fldChar w:fldCharType="separate"/>
          </w:r>
          <w:r>
            <w:rPr>
              <w:b/>
            </w:rPr>
            <w:t>5</w:t>
          </w:r>
          <w:r>
            <w:rPr>
              <w:b/>
            </w:rPr>
            <w:fldChar w:fldCharType="end"/>
          </w:r>
          <w:r>
            <w:rPr>
              <w:b/>
            </w:rPr>
            <w:fldChar w:fldCharType="end"/>
          </w:r>
        </w:p>
        <w:p>
          <w:pPr>
            <w:pStyle w:val="16"/>
            <w:tabs>
              <w:tab w:val="right" w:leader="dot" w:pos="8845"/>
            </w:tabs>
            <w:spacing w:line="300" w:lineRule="auto"/>
          </w:pPr>
          <w:r>
            <w:fldChar w:fldCharType="begin"/>
          </w:r>
          <w:r>
            <w:instrText xml:space="preserve"> HYPERLINK \l _Toc18582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_Toc18582 \h </w:instrText>
          </w:r>
          <w:r>
            <w:fldChar w:fldCharType="separate"/>
          </w:r>
          <w:r>
            <w:t>6</w:t>
          </w:r>
          <w:r>
            <w:fldChar w:fldCharType="end"/>
          </w:r>
          <w:r>
            <w:fldChar w:fldCharType="end"/>
          </w:r>
        </w:p>
        <w:p>
          <w:pPr>
            <w:pStyle w:val="16"/>
            <w:tabs>
              <w:tab w:val="right" w:leader="dot" w:pos="8845"/>
            </w:tabs>
            <w:spacing w:line="300" w:lineRule="auto"/>
          </w:pPr>
          <w:r>
            <w:fldChar w:fldCharType="begin"/>
          </w:r>
          <w:r>
            <w:instrText xml:space="preserve"> HYPERLINK \l _Toc11121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_Toc11121 \h </w:instrText>
          </w:r>
          <w:r>
            <w:fldChar w:fldCharType="separate"/>
          </w:r>
          <w:r>
            <w:t>6</w:t>
          </w:r>
          <w:r>
            <w:fldChar w:fldCharType="end"/>
          </w:r>
          <w:r>
            <w:fldChar w:fldCharType="end"/>
          </w:r>
        </w:p>
        <w:p>
          <w:pPr>
            <w:pStyle w:val="16"/>
            <w:tabs>
              <w:tab w:val="right" w:leader="dot" w:pos="8845"/>
            </w:tabs>
            <w:spacing w:line="300" w:lineRule="auto"/>
          </w:pPr>
          <w:r>
            <w:fldChar w:fldCharType="begin"/>
          </w:r>
          <w:r>
            <w:instrText xml:space="preserve"> HYPERLINK \l _Toc10348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_Toc10348 \h </w:instrText>
          </w:r>
          <w:r>
            <w:fldChar w:fldCharType="separate"/>
          </w:r>
          <w:r>
            <w:t>6</w:t>
          </w:r>
          <w:r>
            <w:fldChar w:fldCharType="end"/>
          </w:r>
          <w:r>
            <w:fldChar w:fldCharType="end"/>
          </w:r>
        </w:p>
        <w:p>
          <w:pPr>
            <w:pStyle w:val="15"/>
            <w:tabs>
              <w:tab w:val="right" w:leader="dot" w:pos="8845"/>
            </w:tabs>
            <w:spacing w:line="300" w:lineRule="auto"/>
            <w:rPr>
              <w:b/>
            </w:rPr>
          </w:pPr>
          <w:r>
            <w:rPr>
              <w:b/>
            </w:rPr>
            <w:fldChar w:fldCharType="begin"/>
          </w:r>
          <w:r>
            <w:rPr>
              <w:b/>
            </w:rPr>
            <w:instrText xml:space="preserve"> HYPERLINK \l _Toc32203 </w:instrText>
          </w:r>
          <w:r>
            <w:rPr>
              <w:b/>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_Toc32203 \h </w:instrText>
          </w:r>
          <w:r>
            <w:rPr>
              <w:b/>
            </w:rPr>
            <w:fldChar w:fldCharType="separate"/>
          </w:r>
          <w:r>
            <w:rPr>
              <w:b/>
            </w:rPr>
            <w:t>7</w:t>
          </w:r>
          <w:r>
            <w:rPr>
              <w:b/>
            </w:rPr>
            <w:fldChar w:fldCharType="end"/>
          </w:r>
          <w:r>
            <w:rPr>
              <w:b/>
            </w:rPr>
            <w:fldChar w:fldCharType="end"/>
          </w:r>
        </w:p>
        <w:p>
          <w:pPr>
            <w:pStyle w:val="15"/>
            <w:tabs>
              <w:tab w:val="right" w:leader="dot" w:pos="8845"/>
            </w:tabs>
            <w:spacing w:line="300" w:lineRule="auto"/>
            <w:rPr>
              <w:b/>
            </w:rPr>
          </w:pPr>
          <w:r>
            <w:rPr>
              <w:b/>
            </w:rPr>
            <w:fldChar w:fldCharType="begin"/>
          </w:r>
          <w:r>
            <w:rPr>
              <w:b/>
            </w:rPr>
            <w:instrText xml:space="preserve"> HYPERLINK \l _Toc8682 </w:instrText>
          </w:r>
          <w:r>
            <w:rPr>
              <w:b/>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_Toc8682 \h </w:instrText>
          </w:r>
          <w:r>
            <w:rPr>
              <w:b/>
            </w:rPr>
            <w:fldChar w:fldCharType="separate"/>
          </w:r>
          <w:r>
            <w:rPr>
              <w:b/>
            </w:rPr>
            <w:t>7</w:t>
          </w:r>
          <w:r>
            <w:rPr>
              <w:b/>
            </w:rPr>
            <w:fldChar w:fldCharType="end"/>
          </w:r>
          <w:r>
            <w:rPr>
              <w:b/>
            </w:rPr>
            <w:fldChar w:fldCharType="end"/>
          </w:r>
        </w:p>
        <w:p>
          <w:pPr>
            <w:pStyle w:val="16"/>
            <w:tabs>
              <w:tab w:val="right" w:leader="dot" w:pos="8845"/>
            </w:tabs>
            <w:spacing w:line="300" w:lineRule="auto"/>
          </w:pPr>
          <w:r>
            <w:fldChar w:fldCharType="begin"/>
          </w:r>
          <w:r>
            <w:instrText xml:space="preserve"> HYPERLINK \l _Toc27971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_Toc27971 \h </w:instrText>
          </w:r>
          <w:r>
            <w:fldChar w:fldCharType="separate"/>
          </w:r>
          <w:r>
            <w:t>8</w:t>
          </w:r>
          <w:r>
            <w:fldChar w:fldCharType="end"/>
          </w:r>
          <w:r>
            <w:fldChar w:fldCharType="end"/>
          </w:r>
        </w:p>
        <w:p>
          <w:pPr>
            <w:pStyle w:val="16"/>
            <w:tabs>
              <w:tab w:val="right" w:leader="dot" w:pos="8845"/>
            </w:tabs>
            <w:spacing w:line="300" w:lineRule="auto"/>
          </w:pPr>
          <w:r>
            <w:fldChar w:fldCharType="begin"/>
          </w:r>
          <w:r>
            <w:instrText xml:space="preserve"> HYPERLINK \l _Toc14026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_Toc14026 \h </w:instrText>
          </w:r>
          <w:r>
            <w:fldChar w:fldCharType="separate"/>
          </w:r>
          <w:r>
            <w:t>8</w:t>
          </w:r>
          <w:r>
            <w:fldChar w:fldCharType="end"/>
          </w:r>
          <w:r>
            <w:fldChar w:fldCharType="end"/>
          </w:r>
        </w:p>
        <w:p>
          <w:pPr>
            <w:pStyle w:val="16"/>
            <w:tabs>
              <w:tab w:val="right" w:leader="dot" w:pos="8845"/>
            </w:tabs>
            <w:spacing w:line="300" w:lineRule="auto"/>
          </w:pPr>
          <w:r>
            <w:fldChar w:fldCharType="begin"/>
          </w:r>
          <w:r>
            <w:instrText xml:space="preserve"> HYPERLINK \l _Toc8050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_Toc8050 \h </w:instrText>
          </w:r>
          <w:r>
            <w:fldChar w:fldCharType="separate"/>
          </w:r>
          <w:r>
            <w:t>8</w:t>
          </w:r>
          <w:r>
            <w:fldChar w:fldCharType="end"/>
          </w:r>
          <w:r>
            <w:fldChar w:fldCharType="end"/>
          </w:r>
        </w:p>
        <w:p>
          <w:pPr>
            <w:pStyle w:val="15"/>
            <w:tabs>
              <w:tab w:val="right" w:leader="dot" w:pos="8845"/>
            </w:tabs>
            <w:spacing w:line="300" w:lineRule="auto"/>
            <w:rPr>
              <w:b/>
            </w:rPr>
          </w:pPr>
          <w:r>
            <w:rPr>
              <w:b/>
            </w:rPr>
            <w:fldChar w:fldCharType="begin"/>
          </w:r>
          <w:r>
            <w:rPr>
              <w:b/>
            </w:rPr>
            <w:instrText xml:space="preserve"> HYPERLINK \l _Toc32244 </w:instrText>
          </w:r>
          <w:r>
            <w:rPr>
              <w:b/>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_Toc32244 \h </w:instrText>
          </w:r>
          <w:r>
            <w:rPr>
              <w:b/>
            </w:rPr>
            <w:fldChar w:fldCharType="separate"/>
          </w:r>
          <w:r>
            <w:rPr>
              <w:b/>
            </w:rPr>
            <w:t>8</w:t>
          </w:r>
          <w:r>
            <w:rPr>
              <w:b/>
            </w:rPr>
            <w:fldChar w:fldCharType="end"/>
          </w:r>
          <w:r>
            <w:rPr>
              <w:b/>
            </w:rPr>
            <w:fldChar w:fldCharType="end"/>
          </w:r>
        </w:p>
        <w:p>
          <w:pPr>
            <w:pStyle w:val="15"/>
            <w:tabs>
              <w:tab w:val="right" w:leader="dot" w:pos="8845"/>
            </w:tabs>
            <w:spacing w:line="300" w:lineRule="auto"/>
            <w:rPr>
              <w:b/>
            </w:rPr>
          </w:pPr>
          <w:r>
            <w:rPr>
              <w:b/>
            </w:rPr>
            <w:fldChar w:fldCharType="begin"/>
          </w:r>
          <w:r>
            <w:rPr>
              <w:b/>
            </w:rPr>
            <w:instrText xml:space="preserve"> HYPERLINK \l _Toc8300 </w:instrText>
          </w:r>
          <w:r>
            <w:rPr>
              <w:b/>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_Toc8300 \h </w:instrText>
          </w:r>
          <w:r>
            <w:rPr>
              <w:b/>
            </w:rPr>
            <w:fldChar w:fldCharType="separate"/>
          </w:r>
          <w:r>
            <w:rPr>
              <w:b/>
            </w:rPr>
            <w:t>8</w:t>
          </w:r>
          <w:r>
            <w:rPr>
              <w:b/>
            </w:rPr>
            <w:fldChar w:fldCharType="end"/>
          </w:r>
          <w:r>
            <w:rPr>
              <w:b/>
            </w:rPr>
            <w:fldChar w:fldCharType="end"/>
          </w:r>
        </w:p>
        <w:p>
          <w:pPr>
            <w:pStyle w:val="15"/>
            <w:tabs>
              <w:tab w:val="right" w:leader="dot" w:pos="8845"/>
            </w:tabs>
            <w:spacing w:line="300" w:lineRule="auto"/>
            <w:rPr>
              <w:b/>
            </w:rPr>
          </w:pPr>
          <w:r>
            <w:rPr>
              <w:b/>
            </w:rPr>
            <w:fldChar w:fldCharType="begin"/>
          </w:r>
          <w:r>
            <w:rPr>
              <w:b/>
            </w:rPr>
            <w:instrText xml:space="preserve"> HYPERLINK \l _Toc10424 </w:instrText>
          </w:r>
          <w:r>
            <w:rPr>
              <w:b/>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_Toc10424 \h </w:instrText>
          </w:r>
          <w:r>
            <w:rPr>
              <w:b/>
            </w:rPr>
            <w:fldChar w:fldCharType="separate"/>
          </w:r>
          <w:r>
            <w:rPr>
              <w:b/>
            </w:rPr>
            <w:t>8</w:t>
          </w:r>
          <w:r>
            <w:rPr>
              <w:b/>
            </w:rPr>
            <w:fldChar w:fldCharType="end"/>
          </w:r>
          <w:r>
            <w:rPr>
              <w:b/>
            </w:rPr>
            <w:fldChar w:fldCharType="end"/>
          </w:r>
        </w:p>
        <w:p>
          <w:pPr>
            <w:pStyle w:val="16"/>
            <w:tabs>
              <w:tab w:val="right" w:leader="dot" w:pos="8845"/>
            </w:tabs>
            <w:spacing w:line="300" w:lineRule="auto"/>
          </w:pPr>
          <w:r>
            <w:fldChar w:fldCharType="begin"/>
          </w:r>
          <w:r>
            <w:instrText xml:space="preserve"> HYPERLINK \l _Toc936 </w:instrText>
          </w:r>
          <w: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_Toc936 \h </w:instrText>
          </w:r>
          <w:r>
            <w:fldChar w:fldCharType="separate"/>
          </w:r>
          <w:r>
            <w:t>8</w:t>
          </w:r>
          <w:r>
            <w:fldChar w:fldCharType="end"/>
          </w:r>
          <w:r>
            <w:fldChar w:fldCharType="end"/>
          </w:r>
        </w:p>
        <w:p>
          <w:pPr>
            <w:pStyle w:val="16"/>
            <w:tabs>
              <w:tab w:val="right" w:leader="dot" w:pos="8845"/>
            </w:tabs>
            <w:spacing w:line="300" w:lineRule="auto"/>
          </w:pPr>
          <w:r>
            <w:fldChar w:fldCharType="begin"/>
          </w:r>
          <w:r>
            <w:instrText xml:space="preserve"> HYPERLINK \l _Toc3723 </w:instrText>
          </w:r>
          <w: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_Toc3723 \h </w:instrText>
          </w:r>
          <w:r>
            <w:fldChar w:fldCharType="separate"/>
          </w:r>
          <w:r>
            <w:t>8</w:t>
          </w:r>
          <w:r>
            <w:fldChar w:fldCharType="end"/>
          </w:r>
          <w:r>
            <w:fldChar w:fldCharType="end"/>
          </w:r>
        </w:p>
        <w:p>
          <w:pPr>
            <w:pStyle w:val="16"/>
            <w:tabs>
              <w:tab w:val="right" w:leader="dot" w:pos="8845"/>
            </w:tabs>
            <w:spacing w:line="300" w:lineRule="auto"/>
          </w:pPr>
          <w:r>
            <w:fldChar w:fldCharType="begin"/>
          </w:r>
          <w:r>
            <w:instrText xml:space="preserve"> HYPERLINK \l _Toc30007 </w:instrText>
          </w:r>
          <w: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_Toc30007 \h </w:instrText>
          </w:r>
          <w:r>
            <w:fldChar w:fldCharType="separate"/>
          </w:r>
          <w:r>
            <w:t>9</w:t>
          </w:r>
          <w:r>
            <w:fldChar w:fldCharType="end"/>
          </w:r>
          <w:r>
            <w:fldChar w:fldCharType="end"/>
          </w:r>
        </w:p>
        <w:p>
          <w:pPr>
            <w:pStyle w:val="16"/>
            <w:tabs>
              <w:tab w:val="right" w:leader="dot" w:pos="8845"/>
            </w:tabs>
            <w:spacing w:line="300" w:lineRule="auto"/>
          </w:pPr>
          <w:r>
            <w:fldChar w:fldCharType="begin"/>
          </w:r>
          <w:r>
            <w:instrText xml:space="preserve"> HYPERLINK \l _Toc23528 </w:instrText>
          </w:r>
          <w: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_Toc23528 \h </w:instrText>
          </w:r>
          <w:r>
            <w:fldChar w:fldCharType="separate"/>
          </w:r>
          <w:r>
            <w:t>9</w:t>
          </w:r>
          <w:r>
            <w:fldChar w:fldCharType="end"/>
          </w:r>
          <w:r>
            <w:fldChar w:fldCharType="end"/>
          </w:r>
        </w:p>
        <w:p>
          <w:pPr>
            <w:pStyle w:val="15"/>
            <w:tabs>
              <w:tab w:val="right" w:leader="dot" w:pos="8845"/>
            </w:tabs>
            <w:spacing w:line="300" w:lineRule="auto"/>
            <w:rPr>
              <w:b/>
            </w:rPr>
          </w:pPr>
          <w:r>
            <w:rPr>
              <w:b/>
            </w:rPr>
            <w:fldChar w:fldCharType="begin"/>
          </w:r>
          <w:r>
            <w:rPr>
              <w:b/>
            </w:rPr>
            <w:instrText xml:space="preserve"> HYPERLINK \l _Toc1452 </w:instrText>
          </w:r>
          <w:r>
            <w:rPr>
              <w:b/>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_Toc1452 \h </w:instrText>
          </w:r>
          <w:r>
            <w:rPr>
              <w:b/>
            </w:rPr>
            <w:fldChar w:fldCharType="separate"/>
          </w:r>
          <w:r>
            <w:rPr>
              <w:b/>
            </w:rPr>
            <w:t>9</w:t>
          </w:r>
          <w:r>
            <w:rPr>
              <w:b/>
            </w:rPr>
            <w:fldChar w:fldCharType="end"/>
          </w:r>
          <w:r>
            <w:rPr>
              <w:b/>
            </w:rPr>
            <w:fldChar w:fldCharType="end"/>
          </w:r>
        </w:p>
        <w:p>
          <w:pPr>
            <w:spacing w:line="300" w:lineRule="auto"/>
            <w:rPr>
              <w:b/>
            </w:rPr>
            <w:sectPr>
              <w:footerReference r:id="rId3" w:type="default"/>
              <w:pgSz w:w="11906" w:h="16838"/>
              <w:pgMar w:top="1701" w:right="1474" w:bottom="1701" w:left="1587" w:header="720" w:footer="1559" w:gutter="0"/>
              <w:pgNumType w:fmt="decimal"/>
              <w:cols w:space="0" w:num="1"/>
              <w:rtlGutter w:val="0"/>
              <w:docGrid w:type="lines" w:linePitch="312" w:charSpace="0"/>
            </w:sectPr>
          </w:pPr>
          <w:r>
            <w:rPr>
              <w:b/>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4663"/>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4205"/>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广元市社会科学界联合会</w:t>
      </w:r>
      <w:r>
        <w:rPr>
          <w:rFonts w:hint="eastAsia" w:ascii="楷体_GB2312" w:hAnsi="楷体_GB2312" w:eastAsia="楷体_GB2312" w:cs="楷体_GB2312"/>
          <w:sz w:val="32"/>
          <w:szCs w:val="32"/>
        </w:rPr>
        <w:t>职能简介</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团结和组织全市社会科学工作者坚持以习近平新时代中国特色社会主义思想为指导，增强“四个意识”、坚定“四个自信”、自觉做到“两个维护”，坚决贯彻党的路线、方针、政策，巩固马克思主义在意识形态领域的指导地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2.组织全市社会科学工作者围绕中心、服务大局，为党委、政府的科学决策提供咨询服务，加强新型智库建设。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3.编制全市社会科学课题规划，负责全市社科规划项目的申报和管理工作。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4.负责开展社会科学优秀成果的评奖工作，安排部分获奖成果的出版、宣传和推广工作。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5.负责新申报的市级社会科学学会、协会、研究会的资格审查；指导和管理全市性社会科学社会团体、县区社科联、高校社科联的工作。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6.组织开展学术交流、调查研究、决策咨询等活动。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7.组织开展理论研究，推动和资助学科发展，扶持、培养优秀社会科学人才。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8.依照《四川省科学技术普及条例》，编制全市社会科学普及规划，组织开展社会科学普及工作。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9.指导社会科学普及基地建设，开展学术研究和应用对策研究。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10.参与推荐社科界创新人才、社会科学学术技术带头人及后备人选的工作。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9787"/>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广元市社会科学界联合会</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1.围绕党的二十大、省第十二次党代会、国家“十四五”哲学社会科学发展规划等内容，开展学习和研究，做好理论阐释工作。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2.围绕省委市委全会和经济工作会议精神，发布2024年市级课题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3.围绕社科普及集中宣传活动，开展社科宣传普及，指导省市级社科普及基地常态化开展活动，编印社科普及读物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4.加强学会建设，督促学会按章程开展活动，建立政治学习制度，强化对所办论坛、讲座、刊物等的导向管理，并按相关规定报批。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5.做好市社科联换届工作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6.加强社科人才队伍建设，举办1期社科人才专题培训班。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7.下大力气继续做好传统历史文化研究的相关组织工作，创新推出一批接地气、见实效的研究成果。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8.推出一批优秀的社科类学会和基地。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9.召开2024蜀道文化年会、举办中国蜀道文化论坛、组织蜀道研究专家开展“四季走蜀道”科研活动等。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6800"/>
      <w:r>
        <w:rPr>
          <w:rFonts w:hint="eastAsia" w:ascii="黑体" w:hAnsi="黑体" w:eastAsia="黑体" w:cs="黑体"/>
          <w:sz w:val="32"/>
          <w:szCs w:val="32"/>
          <w:lang w:val="en-US" w:eastAsia="zh-CN"/>
        </w:rPr>
        <w:t>二、部门预算单位构成</w:t>
      </w:r>
      <w:bookmarkEnd w:id="4"/>
    </w:p>
    <w:p>
      <w:pPr>
        <w:keepNext w:val="0"/>
        <w:keepLines w:val="0"/>
        <w:widowControl w:val="0"/>
        <w:suppressLineNumbers w:val="0"/>
        <w:autoSpaceDE w:val="0"/>
        <w:autoSpaceDN/>
        <w:spacing w:before="0" w:beforeAutospacing="1" w:after="0" w:afterAutospacing="1" w:line="576" w:lineRule="exact"/>
        <w:ind w:left="0" w:right="0" w:firstLine="640" w:firstLineChars="200"/>
        <w:jc w:val="left"/>
        <w:rPr>
          <w:rFonts w:hint="eastAsia" w:ascii="仿宋_GB2312" w:hAnsi="仿宋_GB2312" w:eastAsia="仿宋_GB2312" w:cs="仿宋_GB2312"/>
          <w:sz w:val="32"/>
          <w:szCs w:val="32"/>
          <w:lang w:val="en-US" w:eastAsia="zh-CN"/>
        </w:rPr>
      </w:pPr>
      <w:r>
        <w:rPr>
          <w:rFonts w:ascii="仿宋_GB2312" w:hAnsi="Calibri" w:eastAsia="仿宋_GB2312" w:cs="仿宋_GB2312"/>
          <w:color w:val="auto"/>
          <w:kern w:val="2"/>
          <w:sz w:val="32"/>
          <w:szCs w:val="32"/>
          <w:lang w:val="en-US" w:eastAsia="zh-CN" w:bidi="ar"/>
        </w:rPr>
        <w:t>我单位为广元市委宣传部的下属二级预算单位，本单位无下属机构，设有</w:t>
      </w:r>
      <w:r>
        <w:rPr>
          <w:rFonts w:hint="default" w:ascii="仿宋_GB2312" w:hAnsi="Calibri" w:eastAsia="仿宋_GB2312" w:cs="仿宋_GB2312"/>
          <w:color w:val="auto"/>
          <w:kern w:val="2"/>
          <w:sz w:val="32"/>
          <w:szCs w:val="32"/>
          <w:lang w:val="en-US" w:eastAsia="zh-CN" w:bidi="ar"/>
        </w:rPr>
        <w:t>内设机构办公室和综合部2个。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30462"/>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社会科学界联合会所有收入和支出均纳入部门预算管理。收入包括：一般公共预算拨款收入；支出包括：一般公共服务支出、社会保障和就业支出、卫生健康支出、住房保障支出。广元市社会科学界联合会2024年收支预算总数150.84万元,比2023年收支预算总数减少45.15万元，主要原因是2024年度我单位人员减少2人，人员经费、公用经费同时减少所致。</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485"/>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广元市社会科学界联合会2024年收入预算150.84万元，其中：一般公共预算拨款收入150.84万元，占100%；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3206"/>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广元市社会科学界联合会2024年支出预算150.84万元，其中：基本支出105.77万元，占70.12%；项目支出45.07万元，占28.88%</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3323"/>
      <w:r>
        <w:rPr>
          <w:rFonts w:hint="eastAsia" w:ascii="黑体" w:hAnsi="黑体" w:eastAsia="黑体" w:cs="黑体"/>
          <w:sz w:val="32"/>
          <w:szCs w:val="32"/>
          <w:lang w:val="en-US" w:eastAsia="zh-CN"/>
        </w:rPr>
        <w:t>四、财政拨款</w:t>
      </w:r>
      <w:r>
        <w:rPr>
          <w:rFonts w:hint="eastAsia" w:ascii="黑体" w:hAnsi="黑体" w:eastAsia="黑体" w:cs="黑体"/>
          <w:sz w:val="32"/>
          <w:szCs w:val="32"/>
          <w:highlight w:val="none"/>
          <w:lang w:val="en-US" w:eastAsia="zh-CN"/>
        </w:rPr>
        <w:t>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广元市社会科学界联合会2024年财政拨款收支预算总数150.84万元,比2023年收支预算总数减少45.15万元，主要原因是2024年度我单位人员减少2人，人员经费、公用经费同时减少所致。</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收入包括：本年一般公共预算拨款收入150.84万元、支出包括：一般公共服务支出129.3万元、社会保障和就业支出10.01万元、卫生健康支出3.24万元、住房保障支出8.29万元。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357"/>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8582"/>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广元市社会科学界联合会2024年一般公共预算当年拨款150.84万元，比2023年预算数减少45.15万元，主要原因是2024年度我单位人员减少2人，人员经费、公用经费同时减少所致。</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1121"/>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一般公共服务支出129.3万元，占85.72%；社会保障和就业支出10.01万元，占6.64%；卫生健康支出3.24万元，占2.1</w:t>
      </w:r>
      <w:r>
        <w:rPr>
          <w:rFonts w:hint="default"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%；住房保障支出8.29万元，占5.5%。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0348"/>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一般公共服务（类）群众团体事务（款）行政运行（项）2024年预算数为127.95万元，主要用于：单位人员经费，日常公用经费、社科普及、课题研究、专家数据库建设等专项经费、老区建设促进工作经费、社会科学普及工作经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一般公共服务（类）群众团体事务（款） 一般行政管理事务 （项）2024年预算数为0.78万元，主要用于：单位日常运转经费；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3</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一般公共服务（类）群众团体事务（款）工会事务（项）2024年预算数为0.52万元，主要用于：单位日常工会经费支出。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4</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一般公共服务（类）群众团体事务（款） 其他群众团体事务支出（项）2024年预算数为0.05万元，主要用于：单位日常运转经费。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5</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.社会保障和就业（类）行政事业单位养老支出（款）机关事业单位基本养老保险缴费支出（项）2024年预算数为9.94万元，主要用于：实施养老保险制度由单位缴纳的基本养老保险支出。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6.社会保障和就业（类）其他社会保障和就业支出（款） 其他社会保障和就业支出（项）2024年预算数为0.07万元，主要用于：单位缴纳的</w:t>
      </w:r>
      <w:r>
        <w:rPr>
          <w:rFonts w:hint="default" w:ascii="仿宋_GB2312" w:hAnsi="仿宋_GB2312" w:eastAsia="仿宋_GB2312" w:cs="仿宋_GB2312"/>
          <w:sz w:val="32"/>
          <w:szCs w:val="32"/>
          <w:lang w:eastAsia="zh-CN"/>
        </w:rPr>
        <w:t>工伤</w:t>
      </w:r>
      <w:r>
        <w:rPr>
          <w:rFonts w:hint="eastAsia" w:ascii="仿宋_GB2312" w:hAnsi="仿宋_GB2312" w:eastAsia="仿宋_GB2312" w:cs="仿宋_GB2312"/>
          <w:sz w:val="32"/>
          <w:szCs w:val="32"/>
          <w:lang w:val="en-US" w:eastAsia="zh-CN"/>
        </w:rPr>
        <w:t>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7</w:t>
      </w:r>
      <w:r>
        <w:rPr>
          <w:rFonts w:hint="eastAsia" w:ascii="仿宋_GB2312" w:hAnsi="仿宋_GB2312" w:eastAsia="仿宋_GB2312" w:cs="仿宋_GB2312"/>
          <w:sz w:val="32"/>
          <w:szCs w:val="32"/>
          <w:lang w:val="en-US" w:eastAsia="zh-CN"/>
        </w:rPr>
        <w:t>.卫生健康（类）行政事业单位医疗（款）行政单位医疗（项）2024年预算数为3.24万元，主要用于：机关及参公管理事业单位按规定由单位缴纳的基本医疗保险支出。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8</w:t>
      </w:r>
      <w:r>
        <w:rPr>
          <w:rFonts w:hint="eastAsia" w:ascii="仿宋_GB2312" w:hAnsi="仿宋_GB2312" w:eastAsia="仿宋_GB2312" w:cs="仿宋_GB2312"/>
          <w:sz w:val="32"/>
          <w:szCs w:val="32"/>
          <w:lang w:val="en-US" w:eastAsia="zh-CN"/>
        </w:rPr>
        <w:t>.住房保障（类）住房改革支出（款）住房公积金（项）2024年预算数为8.29万元，主要用于：部门按规定为职工缴纳的住房公积金支出。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32203"/>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广元市社会科学界联合会2024年一般公共预算基本支出105.77万元，其中：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人员经费90.57万元，主要包括：基本工资、津贴补贴、奖金、社会保险缴费、住房公积金</w:t>
      </w:r>
      <w:r>
        <w:rPr>
          <w:rFonts w:hint="default"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公用经费15.2万元，主要包括：办公费、印刷费、</w:t>
      </w:r>
      <w:r>
        <w:rPr>
          <w:rFonts w:hint="default" w:ascii="仿宋_GB2312" w:hAnsi="仿宋_GB2312" w:eastAsia="仿宋_GB2312" w:cs="仿宋_GB2312"/>
          <w:sz w:val="32"/>
          <w:szCs w:val="32"/>
          <w:lang w:eastAsia="zh-CN"/>
        </w:rPr>
        <w:t>手续费</w:t>
      </w:r>
      <w:r>
        <w:rPr>
          <w:rFonts w:hint="eastAsia" w:ascii="仿宋_GB2312" w:hAnsi="仿宋_GB2312" w:eastAsia="仿宋_GB2312" w:cs="仿宋_GB2312"/>
          <w:sz w:val="32"/>
          <w:szCs w:val="32"/>
          <w:lang w:val="en-US" w:eastAsia="zh-CN"/>
        </w:rPr>
        <w:t>、电费、差旅费、维修（护）费、公务接待费、劳务费、工会经费、福利费、其他交通费用</w:t>
      </w:r>
      <w:r>
        <w:rPr>
          <w:rFonts w:hint="default"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8682"/>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广元市社会科学界联合会2024年“三公”经费财政拨款预算数0.1万元，其中：公务接待费0.1万元，公务用车购置及运行维护费0万元，因公出国（境）经费0万元。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7971"/>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公务接待费与2023年预算相比持平</w:t>
      </w:r>
      <w:r>
        <w:rPr>
          <w:rFonts w:hint="default"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4026"/>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公务用车购置及运行维护费与2023年预算相比持平</w:t>
      </w:r>
      <w:r>
        <w:rPr>
          <w:rFonts w:hint="default"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r>
        <w:rPr>
          <w:rFonts w:hint="default" w:ascii="仿宋_GB2312" w:hAnsi="仿宋_GB2312" w:eastAsia="仿宋_GB2312" w:cs="仿宋_GB2312"/>
          <w:sz w:val="32"/>
          <w:szCs w:val="32"/>
          <w:lang w:eastAsia="zh-CN"/>
        </w:rPr>
        <w:t>及</w:t>
      </w:r>
      <w:r>
        <w:rPr>
          <w:rFonts w:hint="eastAsia" w:ascii="仿宋_GB2312" w:hAnsi="仿宋_GB2312" w:eastAsia="仿宋_GB2312" w:cs="仿宋_GB2312"/>
          <w:sz w:val="32"/>
          <w:szCs w:val="32"/>
          <w:lang w:val="en-US" w:eastAsia="zh-CN"/>
        </w:rPr>
        <w:t>运行维护费。</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805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因公出国（境）经费与2023年预算相比持平。2024年无因公出国（境）计划。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32244"/>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广元市社会科学界联合会2024年无政府性基金预算拨款安排的支出。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8300"/>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广元市社会科学界联合会2024年无国有资本经营预算拨款安排的支出。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0424"/>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936"/>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2024年，广元市社会科学界联合会的机关运行经费财政拨款预算为15.2万元，比2023年预算减少6.89万元，下降3.12%。主要原因人员减少2人，人员经费、公用经费同时减少所致。</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3723"/>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2024年，广元市社会科学界联合会安排政府采购预算0万元。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30007"/>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截至2023年底，广元市社会科学界联合会共有车辆0辆。单位无价值200万元以上的大型设备。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预算未安排购置车辆及单位价值200万元以上大型设备。</w:t>
      </w:r>
      <w:bookmarkStart w:id="26" w:name="_GoBack"/>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3528"/>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2024年广元市社会科学界联合会开展绩效目标管理的项目</w:t>
      </w:r>
      <w:r>
        <w:rPr>
          <w:rFonts w:hint="default" w:ascii="仿宋_GB2312" w:hAnsi="仿宋_GB2312" w:eastAsia="仿宋_GB2312" w:cs="仿宋_GB2312"/>
          <w:sz w:val="32"/>
          <w:szCs w:val="32"/>
          <w:lang w:eastAsia="zh-CN"/>
        </w:rPr>
        <w:t>8</w:t>
      </w:r>
      <w:r>
        <w:rPr>
          <w:rFonts w:hint="eastAsia" w:ascii="仿宋_GB2312" w:hAnsi="仿宋_GB2312" w:eastAsia="仿宋_GB2312" w:cs="仿宋_GB2312"/>
          <w:sz w:val="32"/>
          <w:szCs w:val="32"/>
          <w:lang w:val="en-US" w:eastAsia="zh-CN"/>
        </w:rPr>
        <w:t>个，涉及预算</w:t>
      </w:r>
      <w:r>
        <w:rPr>
          <w:rFonts w:hint="default" w:ascii="仿宋_GB2312" w:hAnsi="仿宋_GB2312" w:eastAsia="仿宋_GB2312" w:cs="仿宋_GB2312"/>
          <w:sz w:val="32"/>
          <w:szCs w:val="32"/>
          <w:lang w:eastAsia="zh-CN"/>
        </w:rPr>
        <w:t>150.84</w:t>
      </w:r>
      <w:r>
        <w:rPr>
          <w:rFonts w:hint="eastAsia" w:ascii="仿宋_GB2312" w:hAnsi="仿宋_GB2312" w:eastAsia="仿宋_GB2312" w:cs="仿宋_GB2312"/>
          <w:sz w:val="32"/>
          <w:szCs w:val="32"/>
          <w:lang w:val="en-US" w:eastAsia="zh-CN"/>
        </w:rPr>
        <w:t>万元。其中：</w:t>
      </w:r>
      <w:r>
        <w:rPr>
          <w:rFonts w:hint="default" w:ascii="仿宋_GB2312" w:hAnsi="仿宋_GB2312" w:eastAsia="仿宋_GB2312" w:cs="仿宋_GB2312"/>
          <w:sz w:val="32"/>
          <w:szCs w:val="32"/>
          <w:lang w:eastAsia="zh-CN"/>
        </w:rPr>
        <w:t>人员类项目2个，</w:t>
      </w:r>
      <w:r>
        <w:rPr>
          <w:rFonts w:hint="eastAsia" w:ascii="仿宋_GB2312" w:hAnsi="仿宋_GB2312" w:eastAsia="仿宋_GB2312" w:cs="仿宋_GB2312"/>
          <w:sz w:val="32"/>
          <w:szCs w:val="32"/>
          <w:lang w:val="en-US" w:eastAsia="zh-CN"/>
        </w:rPr>
        <w:t>涉及预算</w:t>
      </w:r>
      <w:r>
        <w:rPr>
          <w:rFonts w:hint="default" w:ascii="仿宋_GB2312" w:hAnsi="仿宋_GB2312" w:eastAsia="仿宋_GB2312" w:cs="仿宋_GB2312"/>
          <w:sz w:val="32"/>
          <w:szCs w:val="32"/>
          <w:lang w:eastAsia="zh-CN"/>
        </w:rPr>
        <w:t>90.58万元；</w:t>
      </w:r>
      <w:r>
        <w:rPr>
          <w:rFonts w:hint="eastAsia" w:ascii="仿宋_GB2312" w:hAnsi="仿宋_GB2312" w:eastAsia="仿宋_GB2312" w:cs="仿宋_GB2312"/>
          <w:sz w:val="32"/>
          <w:szCs w:val="32"/>
          <w:lang w:val="en-US" w:eastAsia="zh-CN"/>
        </w:rPr>
        <w:t>运转类项目3个，涉及预算15.</w:t>
      </w:r>
      <w:r>
        <w:rPr>
          <w:rFonts w:hint="default" w:ascii="仿宋_GB2312" w:hAnsi="仿宋_GB2312" w:eastAsia="仿宋_GB2312" w:cs="仿宋_GB2312"/>
          <w:sz w:val="32"/>
          <w:szCs w:val="32"/>
          <w:lang w:eastAsia="zh-CN"/>
        </w:rPr>
        <w:t>19</w:t>
      </w:r>
      <w:r>
        <w:rPr>
          <w:rFonts w:hint="eastAsia" w:ascii="仿宋_GB2312" w:hAnsi="仿宋_GB2312" w:eastAsia="仿宋_GB2312" w:cs="仿宋_GB2312"/>
          <w:sz w:val="32"/>
          <w:szCs w:val="32"/>
          <w:lang w:val="en-US" w:eastAsia="zh-CN"/>
        </w:rPr>
        <w:t>万元；特定目标类项目3个，涉及预算45.07万元。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452"/>
      <w:r>
        <w:rPr>
          <w:rFonts w:hint="eastAsia" w:ascii="黑体" w:hAnsi="黑体" w:eastAsia="黑体" w:cs="黑体"/>
          <w:sz w:val="32"/>
          <w:szCs w:val="32"/>
          <w:lang w:val="en-US" w:eastAsia="zh-CN"/>
        </w:rPr>
        <w:t>十一、名词解释</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widowControl/>
        <w:suppressLineNumbers w:val="0"/>
        <w:spacing w:before="0" w:beforeAutospacing="0" w:after="0" w:afterAutospacing="0"/>
        <w:ind w:left="0" w:leftChars="0" w:right="0" w:firstLine="640" w:firstLineChars="200"/>
        <w:jc w:val="both"/>
        <w:rPr>
          <w:rFonts w:hint="default" w:ascii="仿宋_GB2312" w:hAnsi="Times New Roman" w:eastAsia="仿宋_GB2312" w:cs="仿宋_GB2312"/>
          <w:i w:val="0"/>
          <w:iCs w:val="0"/>
          <w:caps w:val="0"/>
          <w:color w:val="000000"/>
          <w:spacing w:val="0"/>
          <w:kern w:val="2"/>
          <w:sz w:val="32"/>
          <w:szCs w:val="32"/>
          <w:shd w:val="clear" w:fill="FFFFFF"/>
          <w:lang w:val="en-US" w:eastAsia="zh-CN" w:bidi="ar"/>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）一般公共服务（类）群众团体事务（款）行政运行（项）：</w:t>
      </w:r>
      <w:r>
        <w:rPr>
          <w:rFonts w:hint="eastAsia" w:ascii="仿宋_GB2312" w:hAnsi="仿宋_GB2312" w:eastAsia="仿宋_GB2312" w:cs="仿宋_GB2312"/>
          <w:sz w:val="32"/>
          <w:szCs w:val="32"/>
          <w:lang w:val="en-US" w:eastAsia="zh-CN"/>
        </w:rPr>
        <w:t>指机关单位用于保障机构正常运行、开展日常工作的基本支出社科普及、课题研究、专家数据库建设等专项经费、老区建设促进工作经费、社会科学普及工作经费等。</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三</w:t>
      </w:r>
      <w:r>
        <w:rPr>
          <w:rFonts w:hint="eastAsia" w:ascii="楷体_GB2312" w:hAnsi="楷体_GB2312" w:eastAsia="楷体_GB2312" w:cs="楷体_GB2312"/>
          <w:sz w:val="32"/>
          <w:szCs w:val="32"/>
          <w:lang w:val="en-US" w:eastAsia="zh-CN"/>
        </w:rPr>
        <w:t>）一般公共服务（类）群众团体事务（款）一般行政管理事务（项）：</w:t>
      </w:r>
      <w:r>
        <w:rPr>
          <w:rFonts w:hint="eastAsia" w:ascii="仿宋_GB2312" w:hAnsi="仿宋_GB2312" w:eastAsia="仿宋_GB2312" w:cs="仿宋_GB2312"/>
          <w:sz w:val="32"/>
          <w:szCs w:val="32"/>
          <w:lang w:val="en-US" w:eastAsia="zh-CN"/>
        </w:rPr>
        <w:t>单位日常运转经费；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四</w:t>
      </w:r>
      <w:r>
        <w:rPr>
          <w:rFonts w:hint="eastAsia" w:ascii="楷体_GB2312" w:hAnsi="楷体_GB2312" w:eastAsia="楷体_GB2312" w:cs="楷体_GB2312"/>
          <w:sz w:val="32"/>
          <w:szCs w:val="32"/>
          <w:lang w:val="en-US" w:eastAsia="zh-CN"/>
        </w:rPr>
        <w:t>）一般公共服务（类）群众团体事务（款）工会事务（项）：</w:t>
      </w:r>
      <w:r>
        <w:rPr>
          <w:rFonts w:hint="eastAsia" w:ascii="仿宋_GB2312" w:hAnsi="仿宋_GB2312" w:eastAsia="仿宋_GB2312" w:cs="仿宋_GB2312"/>
          <w:sz w:val="32"/>
          <w:szCs w:val="32"/>
          <w:lang w:val="en-US" w:eastAsia="zh-CN"/>
        </w:rPr>
        <w:t>指机关工会经费支出。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五</w:t>
      </w:r>
      <w:r>
        <w:rPr>
          <w:rFonts w:hint="eastAsia" w:ascii="楷体_GB2312" w:hAnsi="楷体_GB2312" w:eastAsia="楷体_GB2312" w:cs="楷体_GB2312"/>
          <w:sz w:val="32"/>
          <w:szCs w:val="32"/>
          <w:lang w:val="en-US" w:eastAsia="zh-CN"/>
        </w:rPr>
        <w:t>）一般公共服务（类）群众团体事务（款）其他群众团体事务（项）：</w:t>
      </w:r>
      <w:r>
        <w:rPr>
          <w:rFonts w:hint="eastAsia" w:ascii="仿宋_GB2312" w:hAnsi="仿宋_GB2312" w:eastAsia="仿宋_GB2312" w:cs="仿宋_GB2312"/>
          <w:sz w:val="32"/>
          <w:szCs w:val="32"/>
          <w:lang w:val="en-US" w:eastAsia="zh-CN"/>
        </w:rPr>
        <w:t>指机关单位开展日常运转经费支出。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六</w:t>
      </w: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七</w:t>
      </w:r>
      <w:r>
        <w:rPr>
          <w:rFonts w:hint="eastAsia" w:ascii="楷体_GB2312" w:hAnsi="楷体_GB2312" w:eastAsia="楷体_GB2312" w:cs="楷体_GB2312"/>
          <w:sz w:val="32"/>
          <w:szCs w:val="32"/>
          <w:lang w:val="en-US" w:eastAsia="zh-CN"/>
        </w:rPr>
        <w:t>）社会保障和就业（类）其他社会保障和就业支出（款）其他社会保障和就业支出（项）：</w:t>
      </w:r>
      <w:r>
        <w:rPr>
          <w:rFonts w:hint="default" w:ascii="楷体_GB2312" w:hAnsi="楷体_GB2312" w:eastAsia="楷体_GB2312" w:cs="楷体_GB2312"/>
          <w:sz w:val="32"/>
          <w:szCs w:val="32"/>
          <w:lang w:eastAsia="zh-CN"/>
        </w:rPr>
        <w:t>指</w:t>
      </w:r>
      <w:r>
        <w:rPr>
          <w:rFonts w:hint="default" w:ascii="仿宋_GB2312" w:hAnsi="Times New Roman" w:eastAsia="仿宋_GB2312" w:cs="仿宋_GB2312"/>
          <w:i w:val="0"/>
          <w:iCs w:val="0"/>
          <w:caps w:val="0"/>
          <w:color w:val="000000"/>
          <w:spacing w:val="0"/>
          <w:kern w:val="2"/>
          <w:sz w:val="32"/>
          <w:szCs w:val="32"/>
          <w:shd w:val="clear" w:fill="FFFFFF"/>
          <w:lang w:val="en-US" w:eastAsia="zh-CN" w:bidi="ar"/>
        </w:rPr>
        <w:t>其他社会保障和就业方面的支出。</w:t>
      </w:r>
    </w:p>
    <w:p>
      <w:pPr>
        <w:keepNext w:val="0"/>
        <w:keepLines w:val="0"/>
        <w:widowControl/>
        <w:suppressLineNumbers w:val="0"/>
        <w:spacing w:before="0" w:beforeAutospacing="0" w:after="0" w:afterAutospacing="0"/>
        <w:ind w:left="0" w:right="0" w:firstLine="640" w:firstLineChars="200"/>
        <w:jc w:val="both"/>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八</w:t>
      </w:r>
      <w:r>
        <w:rPr>
          <w:rFonts w:hint="eastAsia" w:ascii="楷体_GB2312" w:hAnsi="楷体_GB2312" w:eastAsia="楷体_GB2312" w:cs="楷体_GB2312"/>
          <w:sz w:val="32"/>
          <w:szCs w:val="32"/>
          <w:lang w:val="en-US" w:eastAsia="zh-CN"/>
        </w:rPr>
        <w:t>）卫生健康（类）行政事业单位医疗（款）行政单位医疗（项）：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九</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三</w:t>
      </w:r>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sectPr>
      <w:pgSz w:w="11906" w:h="16838"/>
      <w:pgMar w:top="1701" w:right="1474" w:bottom="1701" w:left="1587" w:header="720" w:footer="1559"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MTU5NmIzMTdiYjAyM2ZjZDg3NzBhMmYyNDA5MDUifQ=="/>
  </w:docVars>
  <w:rsids>
    <w:rsidRoot w:val="00000000"/>
    <w:rsid w:val="012352D1"/>
    <w:rsid w:val="18FE3875"/>
    <w:rsid w:val="193F07B3"/>
    <w:rsid w:val="1D9F113A"/>
    <w:rsid w:val="1F7BF06F"/>
    <w:rsid w:val="1FEE4B73"/>
    <w:rsid w:val="23CE9849"/>
    <w:rsid w:val="372799D5"/>
    <w:rsid w:val="39F304DD"/>
    <w:rsid w:val="3FB65CE0"/>
    <w:rsid w:val="3FBF7665"/>
    <w:rsid w:val="47FD58E3"/>
    <w:rsid w:val="54244390"/>
    <w:rsid w:val="54662A63"/>
    <w:rsid w:val="58064E12"/>
    <w:rsid w:val="5BED67B9"/>
    <w:rsid w:val="5BFEE015"/>
    <w:rsid w:val="5F7ACD20"/>
    <w:rsid w:val="5F7E572D"/>
    <w:rsid w:val="5FAB4402"/>
    <w:rsid w:val="63EDCF55"/>
    <w:rsid w:val="63FBFBCF"/>
    <w:rsid w:val="669360FD"/>
    <w:rsid w:val="68FF6A83"/>
    <w:rsid w:val="6AD62431"/>
    <w:rsid w:val="6AEF6005"/>
    <w:rsid w:val="6E3DB48E"/>
    <w:rsid w:val="6FB765F9"/>
    <w:rsid w:val="6FBBC9CF"/>
    <w:rsid w:val="72BDE561"/>
    <w:rsid w:val="78462278"/>
    <w:rsid w:val="792A445E"/>
    <w:rsid w:val="7997EA6C"/>
    <w:rsid w:val="7AEAE675"/>
    <w:rsid w:val="7BAFCE5D"/>
    <w:rsid w:val="7BB6C4F3"/>
    <w:rsid w:val="7BF7763D"/>
    <w:rsid w:val="7D46598C"/>
    <w:rsid w:val="7D9F8F0F"/>
    <w:rsid w:val="7DFB240B"/>
    <w:rsid w:val="7DFE05E7"/>
    <w:rsid w:val="7E0935ED"/>
    <w:rsid w:val="7FC34197"/>
    <w:rsid w:val="7FCF2AF7"/>
    <w:rsid w:val="7FF56C06"/>
    <w:rsid w:val="9FEF033D"/>
    <w:rsid w:val="A27FF1E5"/>
    <w:rsid w:val="AF3FEDDD"/>
    <w:rsid w:val="AFDEB5A7"/>
    <w:rsid w:val="AFEA7FBF"/>
    <w:rsid w:val="B83F4767"/>
    <w:rsid w:val="BCDDB33B"/>
    <w:rsid w:val="BF930F07"/>
    <w:rsid w:val="BFCE8436"/>
    <w:rsid w:val="C3F7EB7A"/>
    <w:rsid w:val="CFF141F1"/>
    <w:rsid w:val="CFF5FEEC"/>
    <w:rsid w:val="D3DD9064"/>
    <w:rsid w:val="D6F76A0C"/>
    <w:rsid w:val="D7ECE8D2"/>
    <w:rsid w:val="DC57EB36"/>
    <w:rsid w:val="DFDD4FB5"/>
    <w:rsid w:val="E7F748B5"/>
    <w:rsid w:val="EE5F3713"/>
    <w:rsid w:val="EEF38CB4"/>
    <w:rsid w:val="EFC9D62C"/>
    <w:rsid w:val="EFFF55AD"/>
    <w:rsid w:val="F3752F3D"/>
    <w:rsid w:val="F6BE9755"/>
    <w:rsid w:val="F6FFA89B"/>
    <w:rsid w:val="F88D0DC7"/>
    <w:rsid w:val="FAE4EFE1"/>
    <w:rsid w:val="FB9B6F12"/>
    <w:rsid w:val="FBB66A4A"/>
    <w:rsid w:val="FCEF7577"/>
    <w:rsid w:val="FDEE6989"/>
    <w:rsid w:val="FF5E7DB8"/>
    <w:rsid w:val="FF77E367"/>
    <w:rsid w:val="FFD50BE2"/>
    <w:rsid w:val="FFD576EB"/>
    <w:rsid w:val="FFDB1578"/>
    <w:rsid w:val="FFEF0DFF"/>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Body Text 2"/>
    <w:basedOn w:val="1"/>
    <w:next w:val="8"/>
    <w:qFormat/>
    <w:uiPriority w:val="0"/>
    <w:pPr>
      <w:ind w:firstLine="640" w:firstLineChars="200"/>
    </w:pPr>
  </w:style>
  <w:style w:type="paragraph" w:styleId="8">
    <w:name w:val="Body Text First Indent"/>
    <w:basedOn w:val="7"/>
    <w:next w:val="7"/>
    <w:qFormat/>
    <w:uiPriority w:val="0"/>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2024-03-05T22:35:57Z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