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广元市公安局利州区分局</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w:t>
      </w:r>
      <w:r>
        <w:rPr>
          <w:rFonts w:hint="eastAsia" w:ascii="方正小标宋简体" w:hAnsi="方正小标宋简体" w:eastAsia="方正小标宋简体" w:cs="方正小标宋简体"/>
          <w:bCs/>
          <w:kern w:val="0"/>
          <w:sz w:val="44"/>
          <w:szCs w:val="44"/>
          <w:shd w:val="clear" w:color="auto" w:fill="FFFFFF"/>
          <w:lang w:bidi="ar"/>
        </w:rPr>
        <w:t>单位</w:t>
      </w: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预算编制说明</w:t>
      </w: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sdt>
      <w:sdtPr>
        <w:rPr>
          <w:rFonts w:ascii="宋体" w:hAnsi="宋体" w:eastAsia="宋体" w:cs="Times New Roman"/>
          <w:kern w:val="2"/>
          <w:sz w:val="21"/>
          <w:szCs w:val="24"/>
          <w:lang w:val="en-US" w:eastAsia="zh-CN" w:bidi="ar-SA"/>
        </w:rPr>
        <w:id w:val="620238110"/>
        <w15:color w:val="DBDBDB"/>
        <w:docPartObj>
          <w:docPartGallery w:val="Table of Contents"/>
          <w:docPartUnique/>
        </w:docPartObj>
      </w:sdtPr>
      <w:sdtEndPr>
        <w:rPr>
          <w:rFonts w:ascii="黑体" w:hAnsi="黑体" w:eastAsia="黑体" w:cs="黑体"/>
          <w:bCs/>
          <w:color w:val="000000" w:themeColor="text1"/>
          <w:kern w:val="0"/>
          <w:sz w:val="21"/>
          <w:szCs w:val="32"/>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4"/>
            <w:tabs>
              <w:tab w:val="right" w:leader="dot" w:pos="8845"/>
            </w:tabs>
            <w:spacing w:line="360" w:lineRule="auto"/>
          </w:pPr>
          <w:r>
            <w:rPr>
              <w:rFonts w:ascii="黑体" w:hAnsi="黑体" w:eastAsia="黑体" w:cs="黑体"/>
              <w:b/>
              <w:bCs/>
              <w:color w:val="000000" w:themeColor="text1"/>
              <w:kern w:val="0"/>
              <w:sz w:val="32"/>
              <w:szCs w:val="32"/>
              <w:shd w:val="clear" w:color="auto" w:fill="FFFFFF"/>
              <w:lang w:val="en-US" w:eastAsia="zh-CN" w:bidi="ar"/>
              <w14:textFill>
                <w14:solidFill>
                  <w14:schemeClr w14:val="tx1"/>
                </w14:solidFill>
              </w14:textFill>
            </w:rPr>
            <w:fldChar w:fldCharType="begin"/>
          </w:r>
          <w:r>
            <w:rPr>
              <w:rFonts w:ascii="黑体" w:hAnsi="黑体" w:eastAsia="黑体" w:cs="黑体"/>
              <w:b/>
              <w:bCs/>
              <w:color w:val="000000" w:themeColor="text1"/>
              <w:kern w:val="0"/>
              <w:sz w:val="32"/>
              <w:szCs w:val="32"/>
              <w:shd w:val="clear" w:color="auto" w:fill="FFFFFF"/>
              <w:lang w:val="en-US" w:eastAsia="zh-CN" w:bidi="ar"/>
              <w14:textFill>
                <w14:solidFill>
                  <w14:schemeClr w14:val="tx1"/>
                </w14:solidFill>
              </w14:textFill>
            </w:rPr>
            <w:instrText xml:space="preserve">TOC \o "1-3" \h \u </w:instrText>
          </w:r>
          <w:r>
            <w:rPr>
              <w:rFonts w:ascii="黑体" w:hAnsi="黑体" w:eastAsia="黑体" w:cs="黑体"/>
              <w:b/>
              <w:bCs/>
              <w:color w:val="000000" w:themeColor="text1"/>
              <w:kern w:val="0"/>
              <w:sz w:val="32"/>
              <w:szCs w:val="32"/>
              <w:shd w:val="clear" w:color="auto" w:fill="FFFFFF"/>
              <w:lang w:val="en-US" w:eastAsia="zh-CN" w:bidi="ar"/>
              <w14:textFill>
                <w14:solidFill>
                  <w14:schemeClr w14:val="tx1"/>
                </w14:solidFill>
              </w14:textFill>
            </w:rPr>
            <w:fldChar w:fldCharType="separate"/>
          </w:r>
        </w:p>
        <w:p>
          <w:pPr>
            <w:pStyle w:val="14"/>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_Toc78331698 </w:instrText>
          </w:r>
          <w:r>
            <w:rPr>
              <w:rFonts w:ascii="黑体" w:hAnsi="黑体" w:eastAsia="黑体" w:cs="黑体"/>
              <w:bCs/>
              <w:kern w:val="0"/>
              <w:szCs w:val="32"/>
              <w:shd w:val="clear" w:color="auto" w:fill="FFFFFF"/>
              <w:lang w:val="en-US" w:eastAsia="zh-CN" w:bidi="ar"/>
            </w:rPr>
            <w:fldChar w:fldCharType="separate"/>
          </w:r>
          <w:r>
            <w:rPr>
              <w:rFonts w:hint="eastAsia" w:ascii="黑体" w:hAnsi="黑体" w:eastAsia="黑体" w:cs="黑体"/>
              <w:szCs w:val="32"/>
            </w:rPr>
            <w:t>一、基本职能及主要工作</w:t>
          </w:r>
          <w:r>
            <w:tab/>
          </w:r>
          <w:r>
            <w:fldChar w:fldCharType="begin"/>
          </w:r>
          <w:r>
            <w:instrText xml:space="preserve"> PAGEREF _Toc78331698 \h </w:instrText>
          </w:r>
          <w:r>
            <w:fldChar w:fldCharType="separate"/>
          </w:r>
          <w:r>
            <w:t>3</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_Toc525347989 </w:instrText>
          </w:r>
          <w:r>
            <w:rPr>
              <w:rFonts w:ascii="黑体" w:hAnsi="黑体" w:eastAsia="黑体" w:cs="黑体"/>
              <w:bCs/>
              <w:kern w:val="0"/>
              <w:szCs w:val="32"/>
              <w:shd w:val="clear" w:color="auto" w:fill="FFFFFF"/>
              <w:lang w:val="en-US" w:eastAsia="zh-CN" w:bidi="ar"/>
            </w:rPr>
            <w:fldChar w:fldCharType="separate"/>
          </w:r>
          <w:r>
            <w:rPr>
              <w:rFonts w:hint="eastAsia" w:ascii="楷体_GB2312" w:hAnsi="楷体_GB2312" w:eastAsia="楷体_GB2312" w:cs="楷体_GB2312"/>
              <w:szCs w:val="32"/>
            </w:rPr>
            <w:t>（一）广元市公安局利州区分局职能简介</w:t>
          </w:r>
          <w:r>
            <w:tab/>
          </w:r>
          <w:r>
            <w:fldChar w:fldCharType="begin"/>
          </w:r>
          <w:r>
            <w:instrText xml:space="preserve"> PAGEREF _Toc525347989 \h </w:instrText>
          </w:r>
          <w:r>
            <w:fldChar w:fldCharType="separate"/>
          </w:r>
          <w:r>
            <w:t>3</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_Toc1524315654 </w:instrText>
          </w:r>
          <w:r>
            <w:rPr>
              <w:rFonts w:ascii="黑体" w:hAnsi="黑体" w:eastAsia="黑体" w:cs="黑体"/>
              <w:bCs/>
              <w:kern w:val="0"/>
              <w:szCs w:val="32"/>
              <w:shd w:val="clear" w:color="auto" w:fill="FFFFFF"/>
              <w:lang w:val="en-US" w:eastAsia="zh-CN" w:bidi="ar"/>
            </w:rPr>
            <w:fldChar w:fldCharType="separate"/>
          </w:r>
          <w:r>
            <w:rPr>
              <w:rFonts w:hint="eastAsia" w:ascii="楷体_GB2312" w:hAnsi="楷体_GB2312" w:eastAsia="楷体_GB2312" w:cs="楷体_GB2312"/>
              <w:szCs w:val="32"/>
            </w:rPr>
            <w:t>（二）广元市公安局利州区分局2024年重点工作</w:t>
          </w:r>
          <w:r>
            <w:tab/>
          </w:r>
          <w:r>
            <w:fldChar w:fldCharType="begin"/>
          </w:r>
          <w:r>
            <w:instrText xml:space="preserve"> PAGEREF _Toc1524315654 \h </w:instrText>
          </w:r>
          <w:r>
            <w:fldChar w:fldCharType="separate"/>
          </w:r>
          <w:r>
            <w:t>5</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_Toc1040753862 </w:instrText>
          </w:r>
          <w:r>
            <w:rPr>
              <w:rFonts w:ascii="黑体" w:hAnsi="黑体" w:eastAsia="黑体" w:cs="黑体"/>
              <w:bCs/>
              <w:kern w:val="0"/>
              <w:szCs w:val="32"/>
              <w:shd w:val="clear" w:color="auto" w:fill="FFFFFF"/>
              <w:lang w:val="en-US" w:eastAsia="zh-CN" w:bidi="ar"/>
            </w:rPr>
            <w:fldChar w:fldCharType="separate"/>
          </w:r>
          <w:r>
            <w:rPr>
              <w:rFonts w:hint="eastAsia" w:ascii="黑体" w:hAnsi="黑体" w:eastAsia="黑体" w:cs="黑体"/>
              <w:szCs w:val="32"/>
            </w:rPr>
            <w:t>二、部门预算单位构成</w:t>
          </w:r>
          <w:r>
            <w:tab/>
          </w:r>
          <w:r>
            <w:fldChar w:fldCharType="begin"/>
          </w:r>
          <w:r>
            <w:instrText xml:space="preserve"> PAGEREF _Toc1040753862 \h </w:instrText>
          </w:r>
          <w:r>
            <w:fldChar w:fldCharType="separate"/>
          </w:r>
          <w:r>
            <w:t>5</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_Toc1641470530 </w:instrText>
          </w:r>
          <w:r>
            <w:rPr>
              <w:rFonts w:ascii="黑体" w:hAnsi="黑体" w:eastAsia="黑体" w:cs="黑体"/>
              <w:bCs/>
              <w:kern w:val="0"/>
              <w:szCs w:val="32"/>
              <w:shd w:val="clear" w:color="auto" w:fill="FFFFFF"/>
              <w:lang w:val="en-US" w:eastAsia="zh-CN" w:bidi="ar"/>
            </w:rPr>
            <w:fldChar w:fldCharType="separate"/>
          </w:r>
          <w:r>
            <w:rPr>
              <w:rFonts w:hint="eastAsia" w:ascii="黑体" w:hAnsi="黑体" w:eastAsia="黑体" w:cs="黑体"/>
              <w:szCs w:val="32"/>
            </w:rPr>
            <w:t>三、收支预算情况说明</w:t>
          </w:r>
          <w:r>
            <w:tab/>
          </w:r>
          <w:r>
            <w:fldChar w:fldCharType="begin"/>
          </w:r>
          <w:r>
            <w:instrText xml:space="preserve"> PAGEREF _Toc1641470530 \h </w:instrText>
          </w:r>
          <w:r>
            <w:fldChar w:fldCharType="separate"/>
          </w:r>
          <w:r>
            <w:t>5</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_Toc611204447 </w:instrText>
          </w:r>
          <w:r>
            <w:rPr>
              <w:rFonts w:ascii="黑体" w:hAnsi="黑体" w:eastAsia="黑体" w:cs="黑体"/>
              <w:bCs/>
              <w:kern w:val="0"/>
              <w:szCs w:val="32"/>
              <w:shd w:val="clear" w:color="auto" w:fill="FFFFFF"/>
              <w:lang w:val="en-US" w:eastAsia="zh-CN" w:bidi="ar"/>
            </w:rPr>
            <w:fldChar w:fldCharType="separate"/>
          </w:r>
          <w:r>
            <w:rPr>
              <w:rFonts w:hint="default" w:ascii="楷体_GB2312" w:hAnsi="楷体_GB2312" w:eastAsia="楷体_GB2312" w:cs="楷体_GB2312"/>
              <w:szCs w:val="32"/>
            </w:rPr>
            <w:t>（一）</w:t>
          </w:r>
          <w:r>
            <w:rPr>
              <w:rFonts w:hint="eastAsia" w:ascii="楷体_GB2312" w:hAnsi="楷体_GB2312" w:eastAsia="楷体_GB2312" w:cs="楷体_GB2312"/>
              <w:szCs w:val="32"/>
            </w:rPr>
            <w:t>收入预算情况</w:t>
          </w:r>
          <w:r>
            <w:tab/>
          </w:r>
          <w:r>
            <w:fldChar w:fldCharType="begin"/>
          </w:r>
          <w:r>
            <w:instrText xml:space="preserve"> PAGEREF _Toc611204447 \h </w:instrText>
          </w:r>
          <w:r>
            <w:fldChar w:fldCharType="separate"/>
          </w:r>
          <w:r>
            <w:t>6</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_Toc529590137 </w:instrText>
          </w:r>
          <w:r>
            <w:rPr>
              <w:rFonts w:ascii="黑体" w:hAnsi="黑体" w:eastAsia="黑体" w:cs="黑体"/>
              <w:bCs/>
              <w:kern w:val="0"/>
              <w:szCs w:val="32"/>
              <w:shd w:val="clear" w:color="auto" w:fill="FFFFFF"/>
              <w:lang w:val="en-US" w:eastAsia="zh-CN" w:bidi="ar"/>
            </w:rPr>
            <w:fldChar w:fldCharType="separate"/>
          </w:r>
          <w:r>
            <w:rPr>
              <w:rFonts w:hint="eastAsia" w:ascii="楷体_GB2312" w:hAnsi="楷体_GB2312" w:eastAsia="楷体_GB2312" w:cs="楷体_GB2312"/>
              <w:szCs w:val="32"/>
            </w:rPr>
            <w:t>（二）支出预算情况</w:t>
          </w:r>
          <w:r>
            <w:tab/>
          </w:r>
          <w:r>
            <w:fldChar w:fldCharType="begin"/>
          </w:r>
          <w:r>
            <w:instrText xml:space="preserve"> PAGEREF _Toc529590137 \h </w:instrText>
          </w:r>
          <w:r>
            <w:fldChar w:fldCharType="separate"/>
          </w:r>
          <w:r>
            <w:t>6</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_Toc548135472 </w:instrText>
          </w:r>
          <w:r>
            <w:rPr>
              <w:rFonts w:ascii="黑体" w:hAnsi="黑体" w:eastAsia="黑体" w:cs="黑体"/>
              <w:bCs/>
              <w:kern w:val="0"/>
              <w:szCs w:val="32"/>
              <w:shd w:val="clear" w:color="auto" w:fill="FFFFFF"/>
              <w:lang w:val="en-US" w:eastAsia="zh-CN" w:bidi="ar"/>
            </w:rPr>
            <w:fldChar w:fldCharType="separate"/>
          </w:r>
          <w:r>
            <w:rPr>
              <w:rFonts w:hint="eastAsia" w:ascii="黑体" w:hAnsi="黑体" w:eastAsia="黑体" w:cs="黑体"/>
              <w:szCs w:val="32"/>
            </w:rPr>
            <w:t>四、财政拨款收支预算情况说明</w:t>
          </w:r>
          <w:r>
            <w:tab/>
          </w:r>
          <w:r>
            <w:fldChar w:fldCharType="begin"/>
          </w:r>
          <w:r>
            <w:instrText xml:space="preserve"> PAGEREF _Toc548135472 \h </w:instrText>
          </w:r>
          <w:r>
            <w:fldChar w:fldCharType="separate"/>
          </w:r>
          <w:r>
            <w:t>6</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_Toc580878149 </w:instrText>
          </w:r>
          <w:r>
            <w:rPr>
              <w:rFonts w:ascii="黑体" w:hAnsi="黑体" w:eastAsia="黑体" w:cs="黑体"/>
              <w:bCs/>
              <w:kern w:val="0"/>
              <w:szCs w:val="32"/>
              <w:shd w:val="clear" w:color="auto" w:fill="FFFFFF"/>
              <w:lang w:val="en-US" w:eastAsia="zh-CN" w:bidi="ar"/>
            </w:rPr>
            <w:fldChar w:fldCharType="separate"/>
          </w:r>
          <w:r>
            <w:rPr>
              <w:rFonts w:hint="eastAsia" w:ascii="黑体" w:hAnsi="黑体" w:eastAsia="黑体" w:cs="黑体"/>
              <w:szCs w:val="32"/>
            </w:rPr>
            <w:t>五、一般公共预算当年拨款情况说明</w:t>
          </w:r>
          <w:r>
            <w:tab/>
          </w:r>
          <w:r>
            <w:fldChar w:fldCharType="begin"/>
          </w:r>
          <w:r>
            <w:instrText xml:space="preserve"> PAGEREF _Toc580878149 \h </w:instrText>
          </w:r>
          <w:r>
            <w:fldChar w:fldCharType="separate"/>
          </w:r>
          <w:r>
            <w:t>6</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_Toc2063417477 </w:instrText>
          </w:r>
          <w:r>
            <w:rPr>
              <w:rFonts w:ascii="黑体" w:hAnsi="黑体" w:eastAsia="黑体" w:cs="黑体"/>
              <w:bCs/>
              <w:kern w:val="0"/>
              <w:szCs w:val="32"/>
              <w:shd w:val="clear" w:color="auto" w:fill="FFFFFF"/>
              <w:lang w:val="en-US" w:eastAsia="zh-CN" w:bidi="ar"/>
            </w:rPr>
            <w:fldChar w:fldCharType="separate"/>
          </w:r>
          <w:r>
            <w:rPr>
              <w:rFonts w:hint="eastAsia" w:ascii="楷体_GB2312" w:hAnsi="楷体_GB2312" w:eastAsia="楷体_GB2312" w:cs="楷体_GB2312"/>
              <w:szCs w:val="32"/>
            </w:rPr>
            <w:t>（一）一般公共预算当年拨款规模变化情况</w:t>
          </w:r>
          <w:r>
            <w:tab/>
          </w:r>
          <w:r>
            <w:fldChar w:fldCharType="begin"/>
          </w:r>
          <w:r>
            <w:instrText xml:space="preserve"> PAGEREF _Toc2063417477 \h </w:instrText>
          </w:r>
          <w:r>
            <w:fldChar w:fldCharType="separate"/>
          </w:r>
          <w:r>
            <w:t>7</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_Toc961874118 </w:instrText>
          </w:r>
          <w:r>
            <w:rPr>
              <w:rFonts w:ascii="黑体" w:hAnsi="黑体" w:eastAsia="黑体" w:cs="黑体"/>
              <w:bCs/>
              <w:kern w:val="0"/>
              <w:szCs w:val="32"/>
              <w:shd w:val="clear" w:color="auto" w:fill="FFFFFF"/>
              <w:lang w:val="en-US" w:eastAsia="zh-CN" w:bidi="ar"/>
            </w:rPr>
            <w:fldChar w:fldCharType="separate"/>
          </w:r>
          <w:r>
            <w:rPr>
              <w:rFonts w:hint="eastAsia" w:ascii="楷体_GB2312" w:hAnsi="楷体_GB2312" w:eastAsia="楷体_GB2312" w:cs="楷体_GB2312"/>
              <w:szCs w:val="32"/>
            </w:rPr>
            <w:t>（二）一般公共预算当年拨款结构情况</w:t>
          </w:r>
          <w:r>
            <w:tab/>
          </w:r>
          <w:r>
            <w:fldChar w:fldCharType="begin"/>
          </w:r>
          <w:r>
            <w:instrText xml:space="preserve"> PAGEREF _Toc961874118 \h </w:instrText>
          </w:r>
          <w:r>
            <w:fldChar w:fldCharType="separate"/>
          </w:r>
          <w:r>
            <w:t>7</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_Toc248165748 </w:instrText>
          </w:r>
          <w:r>
            <w:rPr>
              <w:rFonts w:ascii="黑体" w:hAnsi="黑体" w:eastAsia="黑体" w:cs="黑体"/>
              <w:bCs/>
              <w:kern w:val="0"/>
              <w:szCs w:val="32"/>
              <w:shd w:val="clear" w:color="auto" w:fill="FFFFFF"/>
              <w:lang w:val="en-US" w:eastAsia="zh-CN" w:bidi="ar"/>
            </w:rPr>
            <w:fldChar w:fldCharType="separate"/>
          </w:r>
          <w:r>
            <w:rPr>
              <w:rFonts w:hint="eastAsia" w:ascii="楷体_GB2312" w:hAnsi="楷体_GB2312" w:eastAsia="楷体_GB2312" w:cs="楷体_GB2312"/>
              <w:szCs w:val="32"/>
            </w:rPr>
            <w:t>（三）一般公共预算当年拨款具体使用情况</w:t>
          </w:r>
          <w:r>
            <w:tab/>
          </w:r>
          <w:r>
            <w:fldChar w:fldCharType="begin"/>
          </w:r>
          <w:r>
            <w:instrText xml:space="preserve"> PAGEREF _Toc248165748 \h </w:instrText>
          </w:r>
          <w:r>
            <w:fldChar w:fldCharType="separate"/>
          </w:r>
          <w:r>
            <w:t>7</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_Toc536588142 </w:instrText>
          </w:r>
          <w:r>
            <w:rPr>
              <w:rFonts w:ascii="黑体" w:hAnsi="黑体" w:eastAsia="黑体" w:cs="黑体"/>
              <w:bCs/>
              <w:kern w:val="0"/>
              <w:szCs w:val="32"/>
              <w:shd w:val="clear" w:color="auto" w:fill="FFFFFF"/>
              <w:lang w:val="en-US" w:eastAsia="zh-CN" w:bidi="ar"/>
            </w:rPr>
            <w:fldChar w:fldCharType="separate"/>
          </w:r>
          <w:r>
            <w:rPr>
              <w:rFonts w:hint="eastAsia" w:ascii="黑体" w:hAnsi="黑体" w:eastAsia="黑体" w:cs="黑体"/>
              <w:szCs w:val="32"/>
            </w:rPr>
            <w:t>六、一般公共预算基本支出情况说明</w:t>
          </w:r>
          <w:r>
            <w:tab/>
          </w:r>
          <w:r>
            <w:fldChar w:fldCharType="begin"/>
          </w:r>
          <w:r>
            <w:instrText xml:space="preserve"> PAGEREF _Toc536588142 \h </w:instrText>
          </w:r>
          <w:r>
            <w:fldChar w:fldCharType="separate"/>
          </w:r>
          <w:r>
            <w:t>8</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_Toc2081913927 </w:instrText>
          </w:r>
          <w:r>
            <w:rPr>
              <w:rFonts w:ascii="黑体" w:hAnsi="黑体" w:eastAsia="黑体" w:cs="黑体"/>
              <w:bCs/>
              <w:kern w:val="0"/>
              <w:szCs w:val="32"/>
              <w:shd w:val="clear" w:color="auto" w:fill="FFFFFF"/>
              <w:lang w:val="en-US" w:eastAsia="zh-CN" w:bidi="ar"/>
            </w:rPr>
            <w:fldChar w:fldCharType="separate"/>
          </w:r>
          <w:r>
            <w:rPr>
              <w:rFonts w:hint="eastAsia" w:ascii="黑体" w:hAnsi="黑体" w:eastAsia="黑体" w:cs="黑体"/>
              <w:szCs w:val="32"/>
            </w:rPr>
            <w:t>七、“三公”经费财政拨款预算安排情况说明</w:t>
          </w:r>
          <w:r>
            <w:tab/>
          </w:r>
          <w:r>
            <w:fldChar w:fldCharType="begin"/>
          </w:r>
          <w:r>
            <w:instrText xml:space="preserve"> PAGEREF _Toc2081913927 \h </w:instrText>
          </w:r>
          <w:r>
            <w:fldChar w:fldCharType="separate"/>
          </w:r>
          <w:r>
            <w:t>9</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_Toc1675743947 </w:instrText>
          </w:r>
          <w:r>
            <w:rPr>
              <w:rFonts w:ascii="黑体" w:hAnsi="黑体" w:eastAsia="黑体" w:cs="黑体"/>
              <w:bCs/>
              <w:kern w:val="0"/>
              <w:szCs w:val="32"/>
              <w:shd w:val="clear" w:color="auto" w:fill="FFFFFF"/>
              <w:lang w:val="en-US" w:eastAsia="zh-CN" w:bidi="ar"/>
            </w:rPr>
            <w:fldChar w:fldCharType="separate"/>
          </w:r>
          <w:r>
            <w:rPr>
              <w:rFonts w:hint="eastAsia" w:ascii="楷体_GB2312" w:hAnsi="楷体_GB2312" w:eastAsia="楷体_GB2312" w:cs="楷体_GB2312"/>
              <w:szCs w:val="32"/>
            </w:rPr>
            <w:t>（一）公务接待费</w:t>
          </w:r>
          <w:r>
            <w:tab/>
          </w:r>
          <w:r>
            <w:fldChar w:fldCharType="begin"/>
          </w:r>
          <w:r>
            <w:instrText xml:space="preserve"> PAGEREF _Toc1675743947 \h </w:instrText>
          </w:r>
          <w:r>
            <w:fldChar w:fldCharType="separate"/>
          </w:r>
          <w:r>
            <w:t>9</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_Toc1411543869 </w:instrText>
          </w:r>
          <w:r>
            <w:rPr>
              <w:rFonts w:ascii="黑体" w:hAnsi="黑体" w:eastAsia="黑体" w:cs="黑体"/>
              <w:bCs/>
              <w:kern w:val="0"/>
              <w:szCs w:val="32"/>
              <w:shd w:val="clear" w:color="auto" w:fill="FFFFFF"/>
              <w:lang w:val="en-US" w:eastAsia="zh-CN" w:bidi="ar"/>
            </w:rPr>
            <w:fldChar w:fldCharType="separate"/>
          </w:r>
          <w:r>
            <w:rPr>
              <w:rFonts w:hint="eastAsia" w:ascii="仿宋_GB2312" w:hAnsi="仿宋_GB2312" w:eastAsia="仿宋_GB2312" w:cs="仿宋_GB2312"/>
              <w:szCs w:val="32"/>
            </w:rPr>
            <w:t>（二）</w:t>
          </w:r>
          <w:r>
            <w:rPr>
              <w:rFonts w:hint="eastAsia" w:ascii="楷体_GB2312" w:hAnsi="楷体_GB2312" w:eastAsia="楷体_GB2312" w:cs="楷体_GB2312"/>
              <w:szCs w:val="32"/>
            </w:rPr>
            <w:t>公务用车购置及运行维护费</w:t>
          </w:r>
          <w:r>
            <w:tab/>
          </w:r>
          <w:r>
            <w:fldChar w:fldCharType="begin"/>
          </w:r>
          <w:r>
            <w:instrText xml:space="preserve"> PAGEREF _Toc1411543869 \h </w:instrText>
          </w:r>
          <w:r>
            <w:fldChar w:fldCharType="separate"/>
          </w:r>
          <w:r>
            <w:t>9</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_Toc1337721746 </w:instrText>
          </w:r>
          <w:r>
            <w:rPr>
              <w:rFonts w:ascii="黑体" w:hAnsi="黑体" w:eastAsia="黑体" w:cs="黑体"/>
              <w:bCs/>
              <w:kern w:val="0"/>
              <w:szCs w:val="32"/>
              <w:shd w:val="clear" w:color="auto" w:fill="FFFFFF"/>
              <w:lang w:val="en-US" w:eastAsia="zh-CN" w:bidi="ar"/>
            </w:rP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_Toc1337721746 \h </w:instrText>
          </w:r>
          <w:r>
            <w:fldChar w:fldCharType="separate"/>
          </w:r>
          <w:r>
            <w:t>10</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_Toc2046948765 </w:instrText>
          </w:r>
          <w:r>
            <w:rPr>
              <w:rFonts w:ascii="黑体" w:hAnsi="黑体" w:eastAsia="黑体" w:cs="黑体"/>
              <w:bCs/>
              <w:kern w:val="0"/>
              <w:szCs w:val="32"/>
              <w:shd w:val="clear" w:color="auto" w:fill="FFFFFF"/>
              <w:lang w:val="en-US" w:eastAsia="zh-CN" w:bidi="ar"/>
            </w:rPr>
            <w:fldChar w:fldCharType="separate"/>
          </w:r>
          <w:r>
            <w:rPr>
              <w:rFonts w:hint="eastAsia" w:ascii="黑体" w:hAnsi="黑体" w:eastAsia="黑体" w:cs="黑体"/>
              <w:szCs w:val="32"/>
            </w:rPr>
            <w:t>八、政府性基金预算支出情况说明</w:t>
          </w:r>
          <w:r>
            <w:tab/>
          </w:r>
          <w:r>
            <w:fldChar w:fldCharType="begin"/>
          </w:r>
          <w:r>
            <w:instrText xml:space="preserve"> PAGEREF _Toc2046948765 \h </w:instrText>
          </w:r>
          <w:r>
            <w:fldChar w:fldCharType="separate"/>
          </w:r>
          <w:r>
            <w:t>10</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_Toc2009497477 </w:instrText>
          </w:r>
          <w:r>
            <w:rPr>
              <w:rFonts w:ascii="黑体" w:hAnsi="黑体" w:eastAsia="黑体" w:cs="黑体"/>
              <w:bCs/>
              <w:kern w:val="0"/>
              <w:szCs w:val="32"/>
              <w:shd w:val="clear" w:color="auto" w:fill="FFFFFF"/>
              <w:lang w:val="en-US" w:eastAsia="zh-CN" w:bidi="ar"/>
            </w:rPr>
            <w:fldChar w:fldCharType="separate"/>
          </w:r>
          <w:r>
            <w:rPr>
              <w:rFonts w:hint="eastAsia" w:ascii="黑体" w:hAnsi="黑体" w:eastAsia="黑体" w:cs="黑体"/>
              <w:szCs w:val="32"/>
            </w:rPr>
            <w:t>九、国有资本经营预算支出情况说明</w:t>
          </w:r>
          <w:r>
            <w:tab/>
          </w:r>
          <w:r>
            <w:fldChar w:fldCharType="begin"/>
          </w:r>
          <w:r>
            <w:instrText xml:space="preserve"> PAGEREF _Toc2009497477 \h </w:instrText>
          </w:r>
          <w:r>
            <w:fldChar w:fldCharType="separate"/>
          </w:r>
          <w:r>
            <w:t>10</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_Toc1383441833 </w:instrText>
          </w:r>
          <w:r>
            <w:rPr>
              <w:rFonts w:ascii="黑体" w:hAnsi="黑体" w:eastAsia="黑体" w:cs="黑体"/>
              <w:bCs/>
              <w:kern w:val="0"/>
              <w:szCs w:val="32"/>
              <w:shd w:val="clear" w:color="auto" w:fill="FFFFFF"/>
              <w:lang w:val="en-US" w:eastAsia="zh-CN" w:bidi="ar"/>
            </w:rPr>
            <w:fldChar w:fldCharType="separate"/>
          </w:r>
          <w:r>
            <w:rPr>
              <w:rFonts w:hint="eastAsia" w:ascii="黑体" w:hAnsi="黑体" w:eastAsia="黑体" w:cs="黑体"/>
              <w:szCs w:val="32"/>
            </w:rPr>
            <w:t>十、其他重要事项的情况说明</w:t>
          </w:r>
          <w:r>
            <w:tab/>
          </w:r>
          <w:r>
            <w:fldChar w:fldCharType="begin"/>
          </w:r>
          <w:r>
            <w:instrText xml:space="preserve"> PAGEREF _Toc1383441833 \h </w:instrText>
          </w:r>
          <w:r>
            <w:fldChar w:fldCharType="separate"/>
          </w:r>
          <w:r>
            <w:t>10</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rFonts w:ascii="黑体" w:hAnsi="黑体" w:eastAsia="黑体" w:cs="黑体"/>
              <w:bCs/>
              <w:color w:val="000000" w:themeColor="text1"/>
              <w:kern w:val="0"/>
              <w:sz w:val="21"/>
              <w:szCs w:val="32"/>
              <w:shd w:val="clear" w:color="auto" w:fill="FFFFFF"/>
              <w:lang w:val="en-US" w:eastAsia="zh-CN" w:bidi="ar"/>
              <w14:textFill>
                <w14:solidFill>
                  <w14:schemeClr w14:val="tx1"/>
                </w14:solidFill>
              </w14:textFill>
            </w:rPr>
          </w:pP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begin"/>
          </w:r>
          <w:r>
            <w:rPr>
              <w:rFonts w:ascii="黑体" w:hAnsi="黑体" w:eastAsia="黑体" w:cs="黑体"/>
              <w:bCs/>
              <w:kern w:val="0"/>
              <w:szCs w:val="32"/>
              <w:shd w:val="clear" w:color="auto" w:fill="FFFFFF"/>
              <w:lang w:val="en-US" w:eastAsia="zh-CN" w:bidi="ar"/>
            </w:rPr>
            <w:instrText xml:space="preserve"> HYPERLINK \l _Toc1479406556 </w:instrText>
          </w:r>
          <w:r>
            <w:rPr>
              <w:rFonts w:ascii="黑体" w:hAnsi="黑体" w:eastAsia="黑体" w:cs="黑体"/>
              <w:bCs/>
              <w:kern w:val="0"/>
              <w:szCs w:val="32"/>
              <w:shd w:val="clear" w:color="auto" w:fill="FFFFFF"/>
              <w:lang w:val="en-US" w:eastAsia="zh-CN" w:bidi="ar"/>
            </w:rPr>
            <w:fldChar w:fldCharType="separate"/>
          </w:r>
          <w:r>
            <w:rPr>
              <w:rFonts w:hint="eastAsia" w:ascii="黑体" w:hAnsi="黑体" w:eastAsia="黑体" w:cs="黑体"/>
              <w:szCs w:val="32"/>
            </w:rPr>
            <w:t>十一、名词解释</w:t>
          </w:r>
          <w:r>
            <w:tab/>
          </w:r>
          <w:r>
            <w:fldChar w:fldCharType="begin"/>
          </w:r>
          <w:r>
            <w:instrText xml:space="preserve"> PAGEREF _Toc1479406556 \h </w:instrText>
          </w:r>
          <w:r>
            <w:fldChar w:fldCharType="separate"/>
          </w:r>
          <w:r>
            <w:t>11</w:t>
          </w:r>
          <w: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r>
            <w:rPr>
              <w:rFonts w:ascii="黑体" w:hAnsi="黑体" w:eastAsia="黑体" w:cs="黑体"/>
              <w:bCs/>
              <w:color w:val="000000" w:themeColor="text1"/>
              <w:kern w:val="0"/>
              <w:szCs w:val="32"/>
              <w:shd w:val="clear" w:color="auto" w:fill="FFFFFF"/>
              <w:lang w:val="en-US" w:eastAsia="zh-CN" w:bidi="ar"/>
              <w14:textFill>
                <w14:solidFill>
                  <w14:schemeClr w14:val="tx1"/>
                </w14:solidFill>
              </w14:textFill>
            </w:rPr>
            <w:fldChar w:fldCharType="end"/>
          </w:r>
        </w:p>
      </w:sdtContent>
    </w:sdt>
    <w:p>
      <w:pPr>
        <w:jc w:val="center"/>
        <w:rPr>
          <w:rFonts w:ascii="黑体" w:hAnsi="黑体" w:eastAsia="黑体" w:cs="黑体"/>
          <w:bCs/>
          <w:color w:val="000000" w:themeColor="text1"/>
          <w:kern w:val="0"/>
          <w:sz w:val="21"/>
          <w:szCs w:val="32"/>
          <w:shd w:val="clear" w:color="auto" w:fill="FFFFFF"/>
          <w:lang w:val="en-US" w:eastAsia="zh-CN"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spacing w:line="576" w:lineRule="exact"/>
        <w:ind w:firstLine="640" w:firstLineChars="200"/>
        <w:outlineLvl w:val="0"/>
        <w:rPr>
          <w:rFonts w:ascii="黑体" w:hAnsi="黑体" w:eastAsia="黑体" w:cs="黑体"/>
          <w:sz w:val="32"/>
          <w:szCs w:val="32"/>
        </w:rPr>
      </w:pPr>
      <w:bookmarkStart w:id="0" w:name="_Toc78331698"/>
      <w:r>
        <w:rPr>
          <w:rFonts w:hint="eastAsia" w:ascii="黑体" w:hAnsi="黑体" w:eastAsia="黑体" w:cs="黑体"/>
          <w:sz w:val="32"/>
          <w:szCs w:val="32"/>
        </w:rPr>
        <w:t>一、基本职能及主要工作</w:t>
      </w:r>
      <w:bookmarkEnd w:id="0"/>
    </w:p>
    <w:p>
      <w:pPr>
        <w:spacing w:line="576" w:lineRule="exact"/>
        <w:ind w:firstLine="640" w:firstLineChars="200"/>
        <w:outlineLvl w:val="1"/>
        <w:rPr>
          <w:rFonts w:ascii="楷体_GB2312" w:hAnsi="楷体_GB2312" w:eastAsia="楷体_GB2312" w:cs="楷体_GB2312"/>
          <w:sz w:val="32"/>
          <w:szCs w:val="32"/>
        </w:rPr>
      </w:pPr>
      <w:bookmarkStart w:id="1" w:name="_Toc525347989"/>
      <w:r>
        <w:rPr>
          <w:rFonts w:hint="eastAsia" w:ascii="楷体_GB2312" w:hAnsi="楷体_GB2312" w:eastAsia="楷体_GB2312" w:cs="楷体_GB2312"/>
          <w:sz w:val="32"/>
          <w:szCs w:val="32"/>
        </w:rPr>
        <w:t>（一）广元市公安局利州区分局职能简介</w:t>
      </w:r>
      <w:bookmarkEnd w:id="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主要职责职能：</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1.贯彻执行党和国家公安工作的方针、政策和法律、法规、规章；部署、指导、监督、检查全区公安工作；负责本系统、本部门依法行政工作，落实行政执法责任制。</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2.组织、指导、协调全区公安机关应急管理、抢险救援工作和社会公共突发事件的处置工作。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3.收集掌握影响稳定、危害国内安全和社会治安的情况，分析研判形势，制定对策。</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4.组织指导全区公安机关侦查工作，协调或直接侦办全区重大刑事案件、国内危害国家安全的犯罪案件及重大经济犯罪案件。</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负责全区治安管理工作并承担相应责任。协调处置全区重大治安案件和群体性事件，指导、监督全区公安机关依法查处破坏社会治安秩序行为，依法开展治安行政管理工作，指导、监督全区公安机关治安保卫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6.负责全区出入境管理有关工作。依法管理国籍，组织、指导全区出境、入境和持普通护照的外国人在广居留、旅行的有关管理工作。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7.指导、协调全区消防监督、火灾预防、火灾扑救工作。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8.负责全区乡村道路交通安全管理工作并承担相应责任。指导、监督全区公安机关维护乡村道路交通安全、交通秩序以及开展机动车辆（不含拖拉机）、驾驶人管理工作。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9.指导、监督全区公安机关对公共信息网络的安全保护工作，负责信息安全等级保护工作的监督、检查、指导。</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10.防范、处置邪教及有害气功组织的违法犯罪活动。</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11.组织、指导、协调对恐怖活动的情报、防范、侦察和应急处置工作。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12.指导、监督全区公安机关依法承担的执行刑罚和监督、考察工作；指导、监督全区看守所、拘留所、强制隔离戒毒所的管理工作。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13.指导全公区安全警卫业务工作，组织实施对有关的党和国家领导人以及重要外宾在广的安全警卫工作并承担相应责任。</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14.组织实施全区公安科学技术工作，组织、指导、规划全公区安机关的指挥系统、信息技术、刑事技术建设。</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15.拟订全市区公安机关装备、被装和经费等警务保障计划及管理制度，组织协调全区公安机关重大任务的警务保障工作。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16.组织开展同区外公安机关、港澳台警方及外国内政警察机构的交往与业务合作。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17.指导区内森林警察等专门公安业务工作。</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18.指导全区公安队伍建设和公安机关党风廉政建设，组织、指导全市公安机关人事管理、民警教育训练和宣传工作，按规定权限管理干部，拟订全区公安队伍监督管理工作规章制度，组织、指导全区公安机关督察、审计、信访工作，指导、监督全区公安机关及人民警察的执法活动，按规定权限实施对干部的监督、查处或督办公安队伍重大违纪案件。</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19.承担市、区两级政府公布的有关行政审批事项。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20.承办区政府和省、市两级公安机关交办的其他事项。</w:t>
      </w:r>
    </w:p>
    <w:p>
      <w:pPr>
        <w:spacing w:line="576" w:lineRule="exact"/>
        <w:ind w:firstLine="640" w:firstLineChars="200"/>
        <w:outlineLvl w:val="1"/>
        <w:rPr>
          <w:rFonts w:ascii="楷体_GB2312" w:hAnsi="楷体_GB2312" w:eastAsia="楷体_GB2312" w:cs="楷体_GB2312"/>
          <w:sz w:val="32"/>
          <w:szCs w:val="32"/>
        </w:rPr>
      </w:pPr>
      <w:bookmarkStart w:id="2" w:name="_Toc1524315654"/>
      <w:r>
        <w:rPr>
          <w:rFonts w:hint="eastAsia" w:ascii="楷体_GB2312" w:hAnsi="楷体_GB2312" w:eastAsia="楷体_GB2312" w:cs="楷体_GB2312"/>
          <w:sz w:val="32"/>
          <w:szCs w:val="32"/>
        </w:rPr>
        <w:t>（二）广元市公安局利州区分局2024年重点工作</w:t>
      </w:r>
      <w:bookmarkEnd w:id="2"/>
    </w:p>
    <w:p>
      <w:pPr>
        <w:suppressAutoHyphens w:val="0"/>
        <w:spacing w:line="576" w:lineRule="exact"/>
        <w:ind w:firstLine="630"/>
        <w:rPr>
          <w:rFonts w:ascii="仿宋_GB2312" w:hAnsi="仿宋_GB2312" w:eastAsia="仿宋_GB2312" w:cs="仿宋_GB2312"/>
          <w:sz w:val="32"/>
          <w:szCs w:val="32"/>
        </w:rPr>
      </w:pP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年是中华人民共和国成立</w:t>
      </w:r>
      <w:r>
        <w:rPr>
          <w:rFonts w:ascii="仿宋_GB2312" w:hAnsi="仿宋_GB2312" w:eastAsia="仿宋_GB2312" w:cs="仿宋_GB2312"/>
          <w:sz w:val="32"/>
          <w:szCs w:val="32"/>
        </w:rPr>
        <w:t>75</w:t>
      </w:r>
      <w:r>
        <w:rPr>
          <w:rFonts w:hint="eastAsia" w:ascii="仿宋_GB2312" w:hAnsi="仿宋_GB2312" w:eastAsia="仿宋_GB2312" w:cs="仿宋_GB2312"/>
          <w:sz w:val="32"/>
          <w:szCs w:val="32"/>
        </w:rPr>
        <w:t>周年，是实施“十四五”规划的冲刺之年，也是加快建设现代化利州的奋进之年。全区公安机关将在区委、区政府和市局党委的坚强领导下，坚定以习近平新时代中国特色社会主义思想为指导，深入贯彻党的二十大精神和习近平总书记来川来广视察重要指示精神，紧扣公安工作现代化主线，着力打造“忠、稳、安、智、正、活”六字公安，努力为利州加快建设川陕甘结合部现代化中心城市核心区和中国食品产业名城营造持续安全稳定的政治社会环境。</w:t>
      </w:r>
    </w:p>
    <w:p>
      <w:pPr>
        <w:spacing w:line="576" w:lineRule="exact"/>
        <w:ind w:firstLine="640" w:firstLineChars="200"/>
        <w:outlineLvl w:val="0"/>
        <w:rPr>
          <w:rFonts w:ascii="黑体" w:hAnsi="黑体" w:eastAsia="黑体" w:cs="黑体"/>
          <w:sz w:val="32"/>
          <w:szCs w:val="32"/>
        </w:rPr>
      </w:pPr>
      <w:bookmarkStart w:id="3" w:name="_Toc1040753862"/>
      <w:r>
        <w:rPr>
          <w:rFonts w:hint="eastAsia" w:ascii="黑体" w:hAnsi="黑体" w:eastAsia="黑体" w:cs="黑体"/>
          <w:sz w:val="32"/>
          <w:szCs w:val="32"/>
        </w:rPr>
        <w:t>二、部门预算单位构成</w:t>
      </w:r>
      <w:bookmarkEnd w:id="3"/>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广元市公安局利州区分局为市公安局的下属二级预算单位，本单位无下属机构，设有内设机构14个。</w:t>
      </w:r>
    </w:p>
    <w:p>
      <w:pPr>
        <w:widowControl/>
        <w:pBdr>
          <w:bottom w:val="single" w:color="FFFFFF" w:sz="8" w:space="31"/>
        </w:pBdr>
        <w:shd w:val="clear" w:color="auto" w:fill="FFFFFF"/>
        <w:spacing w:line="580" w:lineRule="atLeast"/>
        <w:ind w:firstLine="640" w:firstLineChars="200"/>
        <w:outlineLvl w:val="0"/>
        <w:rPr>
          <w:rFonts w:ascii="仿宋_GB2312" w:hAnsi="仿宋_GB2312" w:eastAsia="仿宋_GB2312" w:cs="仿宋_GB2312"/>
          <w:sz w:val="32"/>
          <w:szCs w:val="32"/>
        </w:rPr>
      </w:pPr>
      <w:bookmarkStart w:id="4" w:name="_Toc1641470530"/>
      <w:r>
        <w:rPr>
          <w:rFonts w:hint="eastAsia" w:ascii="黑体" w:hAnsi="黑体" w:eastAsia="黑体" w:cs="黑体"/>
          <w:sz w:val="32"/>
          <w:szCs w:val="32"/>
        </w:rPr>
        <w:t>三、收支预算情况说明</w:t>
      </w:r>
      <w:bookmarkEnd w:id="4"/>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按照综合预算的原则，广元市公安局利州区分局所有收入和支出均纳入部门预算管理。收入包括：一般公共预算拨款收入。</w:t>
      </w:r>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支出包括：公共安全支出、社会保障和就业支出、卫生健康支出、住房保障支出。</w:t>
      </w:r>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广元市公安局利州区分局2024年收支预算总数9391.59万元,比2023年收支预算总数9323.69增加67.9万元，主要原因是人员类经费支出增加。</w:t>
      </w:r>
    </w:p>
    <w:p>
      <w:pPr>
        <w:widowControl/>
        <w:pBdr>
          <w:bottom w:val="single" w:color="FFFFFF" w:sz="8" w:space="31"/>
        </w:pBdr>
        <w:shd w:val="clear" w:color="auto" w:fill="FFFFFF"/>
        <w:spacing w:line="580" w:lineRule="atLeast"/>
        <w:ind w:firstLine="640" w:firstLineChars="200"/>
        <w:outlineLvl w:val="1"/>
        <w:rPr>
          <w:rFonts w:hint="eastAsia" w:ascii="楷体_GB2312" w:hAnsi="楷体_GB2312" w:eastAsia="楷体_GB2312" w:cs="楷体_GB2312"/>
          <w:sz w:val="32"/>
          <w:szCs w:val="32"/>
        </w:rPr>
      </w:pPr>
      <w:bookmarkStart w:id="5" w:name="_Toc611204447"/>
      <w:r>
        <w:rPr>
          <w:rFonts w:hint="default" w:ascii="楷体_GB2312" w:hAnsi="楷体_GB2312" w:eastAsia="楷体_GB2312" w:cs="楷体_GB2312"/>
          <w:sz w:val="32"/>
          <w:szCs w:val="32"/>
        </w:rPr>
        <w:t>（一）</w:t>
      </w:r>
      <w:r>
        <w:rPr>
          <w:rFonts w:hint="eastAsia" w:ascii="楷体_GB2312" w:hAnsi="楷体_GB2312" w:eastAsia="楷体_GB2312" w:cs="楷体_GB2312"/>
          <w:sz w:val="32"/>
          <w:szCs w:val="32"/>
        </w:rPr>
        <w:t>收入预算情况</w:t>
      </w:r>
      <w:bookmarkEnd w:id="5"/>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广元市公安局利州区分局2024年收入预算9391.59万元，其中：一般公共预算拨款收入9391.59万元，占100%.</w:t>
      </w:r>
    </w:p>
    <w:p>
      <w:pPr>
        <w:widowControl/>
        <w:pBdr>
          <w:bottom w:val="single" w:color="FFFFFF" w:sz="8" w:space="31"/>
        </w:pBdr>
        <w:shd w:val="clear" w:color="auto" w:fill="FFFFFF"/>
        <w:spacing w:line="580" w:lineRule="atLeast"/>
        <w:ind w:firstLine="640" w:firstLineChars="200"/>
        <w:outlineLvl w:val="1"/>
        <w:rPr>
          <w:rFonts w:ascii="仿宋_GB2312" w:hAnsi="仿宋_GB2312" w:eastAsia="仿宋_GB2312" w:cs="仿宋_GB2312"/>
          <w:sz w:val="32"/>
          <w:szCs w:val="32"/>
        </w:rPr>
      </w:pPr>
      <w:bookmarkStart w:id="6" w:name="_Toc529590137"/>
      <w:r>
        <w:rPr>
          <w:rFonts w:hint="eastAsia" w:ascii="楷体_GB2312" w:hAnsi="楷体_GB2312" w:eastAsia="楷体_GB2312" w:cs="楷体_GB2312"/>
          <w:sz w:val="32"/>
          <w:szCs w:val="32"/>
        </w:rPr>
        <w:t>（二）支出预算情况</w:t>
      </w:r>
      <w:bookmarkEnd w:id="6"/>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广元市公安局利州区分局2024年支出预算9391.59万元，其中：基本支出8642.47万元，占92.02%；项目支出749.12万元，占7.98%。</w:t>
      </w:r>
    </w:p>
    <w:p>
      <w:pPr>
        <w:widowControl/>
        <w:pBdr>
          <w:bottom w:val="single" w:color="FFFFFF" w:sz="8" w:space="31"/>
        </w:pBdr>
        <w:shd w:val="clear" w:color="auto" w:fill="FFFFFF"/>
        <w:spacing w:line="580" w:lineRule="atLeast"/>
        <w:ind w:firstLine="640" w:firstLineChars="200"/>
        <w:outlineLvl w:val="0"/>
        <w:rPr>
          <w:rFonts w:ascii="仿宋_GB2312" w:hAnsi="仿宋_GB2312" w:eastAsia="仿宋_GB2312" w:cs="仿宋_GB2312"/>
          <w:sz w:val="32"/>
          <w:szCs w:val="32"/>
        </w:rPr>
      </w:pPr>
      <w:bookmarkStart w:id="7" w:name="_Toc548135472"/>
      <w:r>
        <w:rPr>
          <w:rFonts w:hint="eastAsia" w:ascii="黑体" w:hAnsi="黑体" w:eastAsia="黑体" w:cs="黑体"/>
          <w:sz w:val="32"/>
          <w:szCs w:val="32"/>
        </w:rPr>
        <w:t>四、财政拨款收支预算情况说明</w:t>
      </w:r>
      <w:bookmarkEnd w:id="7"/>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广元市公安局利州区分局2024年财政拨款收支预算总数9391.59万元,比2023年财政拨款收支预算总数增加67.9万元，主要原因是人员类经费支出增加。</w:t>
      </w:r>
    </w:p>
    <w:p>
      <w:pPr>
        <w:widowControl/>
        <w:pBdr>
          <w:bottom w:val="single" w:color="FFFFFF" w:sz="8" w:space="31"/>
        </w:pBdr>
        <w:shd w:val="clear" w:color="auto" w:fill="FFFFFF"/>
        <w:spacing w:line="580" w:lineRule="atLeast"/>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收入包括：本年一般公共预算拨款收入9391.59万元；支出包括：公共安全支出7654.12万元、社会保障和就业支出761.03万元、卫生健康支出288.72万元、住房保障支出687.71万元</w:t>
      </w:r>
      <w:r>
        <w:rPr>
          <w:rFonts w:hint="default" w:ascii="仿宋_GB2312" w:hAnsi="仿宋_GB2312" w:eastAsia="仿宋_GB2312" w:cs="仿宋_GB2312"/>
          <w:sz w:val="32"/>
          <w:szCs w:val="32"/>
        </w:rPr>
        <w:t>。</w:t>
      </w:r>
    </w:p>
    <w:p>
      <w:pPr>
        <w:widowControl/>
        <w:pBdr>
          <w:bottom w:val="single" w:color="FFFFFF" w:sz="8" w:space="31"/>
        </w:pBdr>
        <w:shd w:val="clear" w:color="auto" w:fill="FFFFFF"/>
        <w:spacing w:line="580" w:lineRule="atLeast"/>
        <w:ind w:firstLine="640" w:firstLineChars="200"/>
        <w:outlineLvl w:val="0"/>
        <w:rPr>
          <w:rFonts w:hint="eastAsia" w:ascii="黑体" w:hAnsi="黑体" w:eastAsia="黑体" w:cs="黑体"/>
          <w:sz w:val="32"/>
          <w:szCs w:val="32"/>
        </w:rPr>
      </w:pPr>
      <w:bookmarkStart w:id="8" w:name="_Toc580878149"/>
      <w:r>
        <w:rPr>
          <w:rFonts w:hint="eastAsia" w:ascii="黑体" w:hAnsi="黑体" w:eastAsia="黑体" w:cs="黑体"/>
          <w:sz w:val="32"/>
          <w:szCs w:val="32"/>
        </w:rPr>
        <w:t>五、一般公共预算当年拨款情况说明</w:t>
      </w:r>
      <w:bookmarkEnd w:id="8"/>
    </w:p>
    <w:p>
      <w:pPr>
        <w:widowControl/>
        <w:pBdr>
          <w:bottom w:val="single" w:color="FFFFFF" w:sz="8" w:space="31"/>
        </w:pBdr>
        <w:shd w:val="clear" w:color="auto" w:fill="FFFFFF"/>
        <w:spacing w:line="580" w:lineRule="atLeast"/>
        <w:ind w:firstLine="640" w:firstLineChars="200"/>
        <w:outlineLvl w:val="1"/>
        <w:rPr>
          <w:rFonts w:hint="eastAsia" w:ascii="楷体_GB2312" w:hAnsi="楷体_GB2312" w:eastAsia="楷体_GB2312" w:cs="楷体_GB2312"/>
          <w:sz w:val="32"/>
          <w:szCs w:val="32"/>
        </w:rPr>
      </w:pPr>
      <w:bookmarkStart w:id="9" w:name="_Toc2063417477"/>
      <w:r>
        <w:rPr>
          <w:rFonts w:hint="eastAsia" w:ascii="楷体_GB2312" w:hAnsi="楷体_GB2312" w:eastAsia="楷体_GB2312" w:cs="楷体_GB2312"/>
          <w:sz w:val="32"/>
          <w:szCs w:val="32"/>
        </w:rPr>
        <w:t>（一）一般公共预算当年拨款规模变化情况</w:t>
      </w:r>
      <w:bookmarkEnd w:id="9"/>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广元市公安局利州区分局2024年一般公共预算当年拨款9391.59万元，比2023年预算数增加67.9万元，主要原因是人员类经费支出增加。</w:t>
      </w:r>
    </w:p>
    <w:p>
      <w:pPr>
        <w:widowControl/>
        <w:pBdr>
          <w:bottom w:val="single" w:color="FFFFFF" w:sz="8" w:space="31"/>
        </w:pBdr>
        <w:shd w:val="clear" w:color="auto" w:fill="FFFFFF"/>
        <w:spacing w:line="580" w:lineRule="atLeast"/>
        <w:ind w:firstLine="640" w:firstLineChars="200"/>
        <w:outlineLvl w:val="1"/>
        <w:rPr>
          <w:rFonts w:hint="eastAsia" w:ascii="楷体_GB2312" w:hAnsi="楷体_GB2312" w:eastAsia="楷体_GB2312" w:cs="楷体_GB2312"/>
          <w:sz w:val="32"/>
          <w:szCs w:val="32"/>
        </w:rPr>
      </w:pPr>
      <w:bookmarkStart w:id="10" w:name="_Toc961874118"/>
      <w:r>
        <w:rPr>
          <w:rFonts w:hint="eastAsia" w:ascii="楷体_GB2312" w:hAnsi="楷体_GB2312" w:eastAsia="楷体_GB2312" w:cs="楷体_GB2312"/>
          <w:sz w:val="32"/>
          <w:szCs w:val="32"/>
        </w:rPr>
        <w:t>（二）一般公共预算当年拨款结构情况</w:t>
      </w:r>
      <w:bookmarkEnd w:id="10"/>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公共安全支出7654.12万元，占81.5%；社会保障和就业支出761.03万元，占8.1%；卫生健康支出288.72万元，占3.07%；住房保障支出687.71万元，占7.33%.</w:t>
      </w:r>
    </w:p>
    <w:p>
      <w:pPr>
        <w:widowControl/>
        <w:pBdr>
          <w:bottom w:val="single" w:color="FFFFFF" w:sz="8" w:space="31"/>
        </w:pBdr>
        <w:shd w:val="clear" w:color="auto" w:fill="FFFFFF"/>
        <w:spacing w:line="580" w:lineRule="atLeast"/>
        <w:ind w:left="0" w:leftChars="0" w:firstLine="640" w:firstLineChars="200"/>
        <w:outlineLvl w:val="1"/>
        <w:rPr>
          <w:rFonts w:ascii="仿宋_GB2312" w:hAnsi="仿宋_GB2312" w:eastAsia="仿宋_GB2312" w:cs="仿宋_GB2312"/>
          <w:sz w:val="32"/>
          <w:szCs w:val="32"/>
        </w:rPr>
      </w:pPr>
      <w:bookmarkStart w:id="11" w:name="_Toc248165748"/>
      <w:r>
        <w:rPr>
          <w:rFonts w:hint="eastAsia" w:ascii="楷体_GB2312" w:hAnsi="楷体_GB2312" w:eastAsia="楷体_GB2312" w:cs="楷体_GB2312"/>
          <w:sz w:val="32"/>
          <w:szCs w:val="32"/>
        </w:rPr>
        <w:t>（三）一般公共预算当年拨款具体使用情况</w:t>
      </w:r>
      <w:bookmarkEnd w:id="11"/>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公共安全（类）公安（款）行政运行（项）2024年预算数为6905万元，主要用于：人员的工资性支出、日常公用经费等基本支出。</w:t>
      </w:r>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公共安全（类）公安（款）一般行政管理事务（项）2024年预算数为458.4万元，主要用于：民警法定节假日加班补贴和基层派出所民警午餐补助两个项目支出。</w:t>
      </w:r>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公共安全（类）公安（款）执法办案（项）2024年预算数为290.72万元，主要用于：公安机关从事行政执法、刑事司法及侦查办案等活动的支出。</w:t>
      </w:r>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4.社会保障和就业（类）行政事业单位养老支出（款）机关事业单位基本养老保险缴费支出（项）2024年预算数为756.28万元，主要用于：机关事业单位实施养老保险制度由单位缴纳的基本养老保险费支出。</w:t>
      </w:r>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5.社会保障和就业（类）其他社会保障和就业支出（款）其他社会保障和就业支出（项）2024年预算数为4.75万元，主要用于：机关工勤人员失业及工伤保险支出。</w:t>
      </w:r>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6.卫生健康（类）行政事业单位医疗（款）行政单位医疗（项）2024年预算数为288.72万元，主要用于：</w:t>
      </w:r>
      <w:r>
        <w:rPr>
          <w:rFonts w:hint="default" w:ascii="仿宋_GB2312" w:hAnsi="仿宋_GB2312" w:eastAsia="仿宋_GB2312" w:cs="仿宋_GB2312"/>
          <w:sz w:val="32"/>
          <w:szCs w:val="32"/>
          <w:lang w:val="en-US" w:eastAsia="zh-CN"/>
        </w:rPr>
        <w:t>机关及参公管理事业单位按规定由单位缴纳的基本医疗保险支出。</w:t>
      </w:r>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住房保障（类）住房改革支出（款）住房公积金（项）2024年预算数为687.71万元，主要用于：部门按规定为职工缴纳的住房公积金支出。</w:t>
      </w:r>
    </w:p>
    <w:p>
      <w:pPr>
        <w:widowControl/>
        <w:pBdr>
          <w:bottom w:val="single" w:color="FFFFFF" w:sz="8" w:space="31"/>
        </w:pBdr>
        <w:shd w:val="clear" w:color="auto" w:fill="FFFFFF"/>
        <w:spacing w:line="580" w:lineRule="atLeast"/>
        <w:ind w:left="0" w:leftChars="0" w:firstLine="640" w:firstLineChars="200"/>
        <w:outlineLvl w:val="0"/>
        <w:rPr>
          <w:rFonts w:ascii="仿宋_GB2312" w:hAnsi="仿宋_GB2312" w:eastAsia="仿宋_GB2312" w:cs="仿宋_GB2312"/>
          <w:sz w:val="32"/>
          <w:szCs w:val="32"/>
        </w:rPr>
      </w:pPr>
      <w:bookmarkStart w:id="12" w:name="_Toc536588142"/>
      <w:r>
        <w:rPr>
          <w:rFonts w:hint="eastAsia" w:ascii="黑体" w:hAnsi="黑体" w:eastAsia="黑体" w:cs="黑体"/>
          <w:sz w:val="32"/>
          <w:szCs w:val="32"/>
        </w:rPr>
        <w:t>六、一般公共预算基本支出情况说明</w:t>
      </w:r>
      <w:bookmarkEnd w:id="12"/>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广元市公安局利州区分局2024年一般公共预算基本支出8642.47万元，其中：</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人员经费7566.31万元，主要包括：基本工资、津贴补贴、奖金、机关事业单位基本养老保险缴费、职工基本医疗保险缴费、其他社会保障缴费、住房公积金、生活补助等支出。</w:t>
      </w:r>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1076.15万元，主要包括：办公费、印刷费、手续费、水费、邮电费、差旅费、维修（护）费、会议费、公务接待费、专用材料费、委托业务费、工会经费、福利费、公务用车运行维护费、其他交通费用、其他商品和服务支出等支出。</w:t>
      </w:r>
    </w:p>
    <w:p>
      <w:pPr>
        <w:widowControl/>
        <w:pBdr>
          <w:bottom w:val="single" w:color="FFFFFF" w:sz="8" w:space="31"/>
        </w:pBdr>
        <w:shd w:val="clear" w:color="auto" w:fill="FFFFFF"/>
        <w:spacing w:line="580" w:lineRule="atLeast"/>
        <w:ind w:left="0" w:leftChars="0" w:firstLine="640" w:firstLineChars="200"/>
        <w:outlineLvl w:val="0"/>
        <w:rPr>
          <w:rFonts w:ascii="仿宋_GB2312" w:hAnsi="仿宋_GB2312" w:eastAsia="仿宋_GB2312" w:cs="仿宋_GB2312"/>
          <w:color w:val="FF0000"/>
          <w:sz w:val="32"/>
          <w:szCs w:val="32"/>
        </w:rPr>
      </w:pPr>
      <w:bookmarkStart w:id="13" w:name="_Toc2081913927"/>
      <w:r>
        <w:rPr>
          <w:rFonts w:hint="eastAsia" w:ascii="黑体" w:hAnsi="黑体" w:eastAsia="黑体" w:cs="黑体"/>
          <w:sz w:val="32"/>
          <w:szCs w:val="32"/>
        </w:rPr>
        <w:t>七、“三公”经费财政拨款预算安排情况说明</w:t>
      </w:r>
      <w:bookmarkEnd w:id="13"/>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广元市公安局利州区分局2024年“三公”经费财政拨款预算数122.2万元，其中：公务接待费2.2万元，公务用车购置及运行维护费120万元，因公出国（境）经费0万元。</w:t>
      </w:r>
    </w:p>
    <w:p>
      <w:pPr>
        <w:widowControl/>
        <w:pBdr>
          <w:bottom w:val="single" w:color="FFFFFF" w:sz="8" w:space="31"/>
        </w:pBdr>
        <w:shd w:val="clear" w:color="auto" w:fill="FFFFFF"/>
        <w:spacing w:line="580" w:lineRule="atLeast"/>
        <w:ind w:firstLine="640" w:firstLineChars="200"/>
        <w:outlineLvl w:val="1"/>
        <w:rPr>
          <w:rFonts w:ascii="仿宋_GB2312" w:hAnsi="仿宋_GB2312" w:eastAsia="仿宋_GB2312" w:cs="仿宋_GB2312"/>
          <w:color w:val="FF0000"/>
          <w:sz w:val="32"/>
          <w:szCs w:val="32"/>
        </w:rPr>
      </w:pPr>
      <w:bookmarkStart w:id="14" w:name="_Toc1675743947"/>
      <w:r>
        <w:rPr>
          <w:rFonts w:hint="eastAsia" w:ascii="楷体_GB2312" w:hAnsi="楷体_GB2312" w:eastAsia="楷体_GB2312" w:cs="楷体_GB2312"/>
          <w:sz w:val="32"/>
          <w:szCs w:val="32"/>
        </w:rPr>
        <w:t>（一）公务接待费</w:t>
      </w:r>
      <w:bookmarkEnd w:id="14"/>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widowControl/>
        <w:pBdr>
          <w:bottom w:val="single" w:color="FFFFFF" w:sz="8" w:space="31"/>
        </w:pBdr>
        <w:shd w:val="clear" w:color="auto" w:fill="FFFFFF"/>
        <w:spacing w:line="580" w:lineRule="atLeast"/>
        <w:ind w:firstLine="640" w:firstLineChars="200"/>
        <w:outlineLvl w:val="1"/>
        <w:rPr>
          <w:rFonts w:ascii="仿宋_GB2312" w:hAnsi="仿宋_GB2312" w:eastAsia="仿宋_GB2312" w:cs="仿宋_GB2312"/>
          <w:sz w:val="32"/>
          <w:szCs w:val="32"/>
        </w:rPr>
      </w:pPr>
      <w:bookmarkStart w:id="15" w:name="_Toc1411543869"/>
      <w:r>
        <w:rPr>
          <w:rFonts w:hint="eastAsia" w:ascii="仿宋_GB2312" w:hAnsi="仿宋_GB2312" w:eastAsia="仿宋_GB2312" w:cs="仿宋_GB2312"/>
          <w:sz w:val="32"/>
          <w:szCs w:val="32"/>
        </w:rPr>
        <w:t>（二）</w:t>
      </w:r>
      <w:r>
        <w:rPr>
          <w:rFonts w:hint="eastAsia" w:ascii="楷体_GB2312" w:hAnsi="楷体_GB2312" w:eastAsia="楷体_GB2312" w:cs="楷体_GB2312"/>
          <w:sz w:val="32"/>
          <w:szCs w:val="32"/>
        </w:rPr>
        <w:t>公务用车购置及运行维护费</w:t>
      </w:r>
      <w:bookmarkEnd w:id="15"/>
    </w:p>
    <w:p>
      <w:pPr>
        <w:widowControl/>
        <w:pBdr>
          <w:bottom w:val="single" w:color="FFFFFF" w:sz="8" w:space="31"/>
        </w:pBdr>
        <w:shd w:val="clear" w:color="auto" w:fill="FFFFFF"/>
        <w:spacing w:line="580" w:lineRule="atLeas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公务用车购置及运行维护费与2023年预算相比持平。</w:t>
      </w:r>
    </w:p>
    <w:p>
      <w:pPr>
        <w:widowControl/>
        <w:pBdr>
          <w:bottom w:val="single" w:color="FFFFFF" w:sz="8" w:space="31"/>
        </w:pBdr>
        <w:shd w:val="clear" w:color="auto" w:fill="FFFFFF"/>
        <w:spacing w:line="580" w:lineRule="atLeas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单位现有公务用车93辆，其中：轿车38辆，大中型运警客车7辆，面包车12辆，商务车1辆，皮卡车15辆，越野车13辆，特种车7辆。</w:t>
      </w:r>
    </w:p>
    <w:p>
      <w:pPr>
        <w:widowControl/>
        <w:pBdr>
          <w:bottom w:val="single" w:color="FFFFFF" w:sz="8" w:space="31"/>
        </w:pBdr>
        <w:shd w:val="clear" w:color="auto" w:fill="FFFFFF"/>
        <w:spacing w:line="580" w:lineRule="atLeas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因单位为市、区两级财政，单位公务用车资产属利州区财政管辖，两级财政公务用车购置及运行维护费统筹使用。</w:t>
      </w:r>
    </w:p>
    <w:p>
      <w:pPr>
        <w:keepNext w:val="0"/>
        <w:keepLines w:val="0"/>
        <w:widowControl w:val="0"/>
        <w:suppressLineNumbers w:val="0"/>
        <w:pBdr>
          <w:bottom w:val="single" w:color="FFFFFF" w:sz="8" w:space="31"/>
        </w:pBdr>
        <w:shd w:val="clear" w:color="auto" w:fill="FFFFFF"/>
        <w:suppressAutoHyphens/>
        <w:spacing w:before="0" w:beforeAutospacing="0" w:after="0" w:afterAutospacing="0" w:line="580" w:lineRule="atLeast"/>
        <w:ind w:left="0" w:leftChars="0" w:right="0" w:firstLine="640" w:firstLineChars="200"/>
        <w:jc w:val="both"/>
        <w:rPr>
          <w:rFonts w:hint="default" w:ascii="仿宋_GB2312" w:hAnsi="仿宋_GB2312" w:eastAsia="仿宋_GB2312" w:cs="仿宋_GB2312"/>
          <w:color w:val="FF0000"/>
          <w:sz w:val="32"/>
          <w:szCs w:val="32"/>
        </w:rPr>
      </w:pPr>
      <w:r>
        <w:rPr>
          <w:rFonts w:hint="default" w:ascii="仿宋_GB2312" w:hAnsi="Calibri" w:eastAsia="仿宋_GB2312" w:cs="仿宋_GB2312"/>
          <w:kern w:val="2"/>
          <w:sz w:val="32"/>
          <w:szCs w:val="32"/>
          <w:lang w:val="en-US" w:eastAsia="zh-CN" w:bidi="ar"/>
        </w:rPr>
        <w:t>2024年未安排公务用车购置费</w:t>
      </w:r>
      <w:r>
        <w:rPr>
          <w:rFonts w:hint="default" w:ascii="仿宋_GB2312" w:eastAsia="仿宋_GB2312" w:cs="仿宋_GB2312"/>
          <w:kern w:val="2"/>
          <w:sz w:val="32"/>
          <w:szCs w:val="32"/>
          <w:lang w:eastAsia="zh-CN" w:bidi="ar"/>
        </w:rPr>
        <w:t>。</w:t>
      </w:r>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2024年安排公务用车运行维护费120万元，用于93辆公务用车燃油、过路（桥）、维修、保险等方面支出，主要保障特巡警、刑侦、经侦、治安、派出所等执法办案部门执法执勤用车相关支出。</w:t>
      </w:r>
    </w:p>
    <w:p>
      <w:pPr>
        <w:widowControl/>
        <w:pBdr>
          <w:bottom w:val="single" w:color="FFFFFF" w:sz="8" w:space="31"/>
        </w:pBdr>
        <w:shd w:val="clear" w:color="auto" w:fill="FFFFFF"/>
        <w:spacing w:line="580" w:lineRule="atLeast"/>
        <w:ind w:left="0" w:leftChars="0" w:firstLine="320" w:firstLineChars="100"/>
        <w:outlineLvl w:val="1"/>
        <w:rPr>
          <w:rFonts w:ascii="仿宋_GB2312" w:hAnsi="仿宋_GB2312" w:eastAsia="仿宋_GB2312" w:cs="仿宋_GB2312"/>
          <w:sz w:val="32"/>
          <w:szCs w:val="32"/>
        </w:rPr>
      </w:pPr>
      <w:bookmarkStart w:id="16" w:name="_Toc1337721746"/>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16"/>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因公出国（境）经费与2023年预算相比持平，2024年部门预算未编列因公出国（境）经费，未安排出国（境）任务和计划。</w:t>
      </w:r>
    </w:p>
    <w:p>
      <w:pPr>
        <w:widowControl/>
        <w:pBdr>
          <w:bottom w:val="single" w:color="FFFFFF" w:sz="8" w:space="31"/>
        </w:pBdr>
        <w:shd w:val="clear" w:color="auto" w:fill="FFFFFF"/>
        <w:spacing w:line="580" w:lineRule="atLeast"/>
        <w:ind w:left="0" w:leftChars="0" w:firstLine="640" w:firstLineChars="200"/>
        <w:outlineLvl w:val="0"/>
        <w:rPr>
          <w:rFonts w:ascii="黑体" w:hAnsi="黑体" w:eastAsia="黑体" w:cs="黑体"/>
          <w:sz w:val="32"/>
          <w:szCs w:val="32"/>
        </w:rPr>
      </w:pPr>
      <w:bookmarkStart w:id="17" w:name="_Toc2046948765"/>
      <w:r>
        <w:rPr>
          <w:rFonts w:hint="eastAsia" w:ascii="黑体" w:hAnsi="黑体" w:eastAsia="黑体" w:cs="黑体"/>
          <w:sz w:val="32"/>
          <w:szCs w:val="32"/>
        </w:rPr>
        <w:t>八、政府性基金预算支出情况说明</w:t>
      </w:r>
      <w:bookmarkEnd w:id="17"/>
    </w:p>
    <w:p>
      <w:pPr>
        <w:widowControl/>
        <w:pBdr>
          <w:bottom w:val="single" w:color="FFFFFF" w:sz="8" w:space="31"/>
        </w:pBdr>
        <w:shd w:val="clear" w:color="auto" w:fill="FFFFFF"/>
        <w:spacing w:line="580" w:lineRule="atLeast"/>
        <w:ind w:left="0" w:leftChars="0" w:firstLine="640" w:firstLineChars="200"/>
        <w:rPr>
          <w:rFonts w:ascii="黑体" w:hAnsi="黑体" w:eastAsia="黑体" w:cs="黑体"/>
          <w:sz w:val="32"/>
          <w:szCs w:val="32"/>
        </w:rPr>
      </w:pPr>
      <w:r>
        <w:rPr>
          <w:rFonts w:hint="eastAsia" w:ascii="仿宋_GB2312" w:hAnsi="仿宋_GB2312" w:eastAsia="仿宋_GB2312" w:cs="仿宋_GB2312"/>
          <w:sz w:val="32"/>
          <w:szCs w:val="32"/>
        </w:rPr>
        <w:t>广元市公安局利州区分局2024年无政府性基金预算拨款安排的支出。</w:t>
      </w:r>
    </w:p>
    <w:p>
      <w:pPr>
        <w:widowControl/>
        <w:pBdr>
          <w:bottom w:val="single" w:color="FFFFFF" w:sz="8" w:space="31"/>
        </w:pBdr>
        <w:shd w:val="clear" w:color="auto" w:fill="FFFFFF"/>
        <w:spacing w:line="580" w:lineRule="atLeast"/>
        <w:ind w:left="0" w:leftChars="0" w:firstLine="640" w:firstLineChars="200"/>
        <w:outlineLvl w:val="0"/>
        <w:rPr>
          <w:rFonts w:ascii="黑体" w:hAnsi="黑体" w:eastAsia="黑体" w:cs="黑体"/>
          <w:sz w:val="32"/>
          <w:szCs w:val="32"/>
        </w:rPr>
      </w:pPr>
      <w:bookmarkStart w:id="18" w:name="_Toc2009497477"/>
      <w:r>
        <w:rPr>
          <w:rFonts w:hint="eastAsia" w:ascii="黑体" w:hAnsi="黑体" w:eastAsia="黑体" w:cs="黑体"/>
          <w:sz w:val="32"/>
          <w:szCs w:val="32"/>
        </w:rPr>
        <w:t>九、国有资本经营预算支出情况说明</w:t>
      </w:r>
      <w:bookmarkEnd w:id="18"/>
    </w:p>
    <w:p>
      <w:pPr>
        <w:widowControl/>
        <w:pBdr>
          <w:bottom w:val="single" w:color="FFFFFF" w:sz="8" w:space="31"/>
        </w:pBdr>
        <w:shd w:val="clear" w:color="auto" w:fill="FFFFFF"/>
        <w:spacing w:line="580" w:lineRule="atLeast"/>
        <w:ind w:left="0" w:leftChars="0" w:firstLine="640" w:firstLineChars="200"/>
        <w:rPr>
          <w:rFonts w:ascii="黑体" w:hAnsi="黑体" w:eastAsia="黑体" w:cs="黑体"/>
          <w:sz w:val="32"/>
          <w:szCs w:val="32"/>
        </w:rPr>
      </w:pPr>
      <w:r>
        <w:rPr>
          <w:rFonts w:hint="eastAsia" w:ascii="仿宋_GB2312" w:hAnsi="仿宋_GB2312" w:eastAsia="仿宋_GB2312" w:cs="仿宋_GB2312"/>
          <w:sz w:val="32"/>
          <w:szCs w:val="32"/>
        </w:rPr>
        <w:t>广元市公安局利州区分局2024年无国有资本经营预算拨款安排的支出。</w:t>
      </w:r>
    </w:p>
    <w:p>
      <w:pPr>
        <w:widowControl/>
        <w:pBdr>
          <w:bottom w:val="single" w:color="FFFFFF" w:sz="8" w:space="31"/>
        </w:pBdr>
        <w:shd w:val="clear" w:color="auto" w:fill="FFFFFF"/>
        <w:spacing w:line="580" w:lineRule="atLeast"/>
        <w:ind w:left="0" w:leftChars="0" w:firstLine="640" w:firstLineChars="200"/>
        <w:outlineLvl w:val="0"/>
        <w:rPr>
          <w:rFonts w:ascii="黑体" w:hAnsi="黑体" w:eastAsia="黑体" w:cs="黑体"/>
          <w:sz w:val="32"/>
          <w:szCs w:val="32"/>
        </w:rPr>
      </w:pPr>
      <w:bookmarkStart w:id="19" w:name="_Toc1383441833"/>
      <w:r>
        <w:rPr>
          <w:rFonts w:hint="eastAsia" w:ascii="黑体" w:hAnsi="黑体" w:eastAsia="黑体" w:cs="黑体"/>
          <w:sz w:val="32"/>
          <w:szCs w:val="32"/>
        </w:rPr>
        <w:t>十、其他重要事项的情况说明</w:t>
      </w:r>
      <w:bookmarkEnd w:id="19"/>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2024年，广元市公安局利州区分局机关运行经费财政拨款预算为1076.15万元，比2023年预算减少28.46万元，降低2.58%。主要原因为人员退休及调出等致总人数减少，机关运行经费相应减少。</w:t>
      </w:r>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（二）政府采购情况</w:t>
      </w:r>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2024年，广元市公安局利州区分局安排政府采购预算0万元。</w:t>
      </w:r>
    </w:p>
    <w:p>
      <w:pPr>
        <w:widowControl/>
        <w:pBdr>
          <w:bottom w:val="single" w:color="FFFFFF" w:sz="8" w:space="31"/>
        </w:pBdr>
        <w:shd w:val="clear" w:color="auto" w:fill="FFFFFF"/>
        <w:spacing w:line="580" w:lineRule="atLeast"/>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截至2023年底，广元市公安局利州区分局共有车辆93辆，在市区两级财政反映。其中，</w:t>
      </w:r>
      <w:bookmarkStart w:id="21" w:name="_GoBack"/>
      <w:bookmarkEnd w:id="21"/>
      <w:r>
        <w:rPr>
          <w:rFonts w:hint="eastAsia" w:ascii="仿宋_GB2312" w:hAnsi="仿宋_GB2312" w:eastAsia="仿宋_GB2312" w:cs="仿宋_GB2312"/>
          <w:sz w:val="32"/>
          <w:szCs w:val="32"/>
        </w:rPr>
        <w:t>执法执勤用车93辆，在市区两级财政预算公开中反映。单位无价值200万元以上的大型设备。</w:t>
      </w:r>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p>
    <w:p>
      <w:pPr>
        <w:widowControl/>
        <w:pBdr>
          <w:bottom w:val="single" w:color="FFFFFF" w:sz="8" w:space="31"/>
        </w:pBdr>
        <w:shd w:val="clear" w:color="auto" w:fill="FFFFFF"/>
        <w:spacing w:line="580" w:lineRule="atLeast"/>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2024年广元市公安局利州区分局开展绩效目标管理的项目13个，涉及预算9391.59万元。其中：人员类项目7个，涉及预算7566.31万元；运转类项目3个，涉及预算1076.15万元；特定目标类项目3个，涉及预算749.12万元。</w:t>
      </w:r>
    </w:p>
    <w:p>
      <w:pPr>
        <w:widowControl/>
        <w:pBdr>
          <w:bottom w:val="single" w:color="FFFFFF" w:sz="8" w:space="31"/>
        </w:pBdr>
        <w:shd w:val="clear" w:color="auto" w:fill="FFFFFF"/>
        <w:spacing w:line="580" w:lineRule="atLeast"/>
        <w:ind w:left="0" w:leftChars="0" w:firstLine="640" w:firstLineChars="200"/>
        <w:outlineLvl w:val="0"/>
        <w:rPr>
          <w:rFonts w:hint="eastAsia" w:ascii="黑体" w:hAnsi="黑体" w:eastAsia="黑体" w:cs="黑体"/>
          <w:sz w:val="32"/>
          <w:szCs w:val="32"/>
        </w:rPr>
      </w:pPr>
      <w:bookmarkStart w:id="20" w:name="_Toc1479406556"/>
      <w:r>
        <w:rPr>
          <w:rFonts w:hint="eastAsia" w:ascii="黑体" w:hAnsi="黑体" w:eastAsia="黑体" w:cs="黑体"/>
          <w:sz w:val="32"/>
          <w:szCs w:val="32"/>
        </w:rPr>
        <w:t>十一、名词解释</w:t>
      </w:r>
      <w:bookmarkEnd w:id="20"/>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（一）财政拨款收入</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（二）公共安全（类）公安（款）行政运行（项）：指公安机关及参公管理事业单位用于保障机构正常运行、开展日常工作的基本支出。</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（三）公共安全（类）公安（款）一般行政管理事务（项）：指公安机关及参公管理事业单位开展公安综合业务等未单独设置项级科目的专门性公安管理工作的项目支出。</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（四）公共安全（类）公安（款）执法办案（项）：指公安机关从事行政执法、刑事司法及侦查办案等相关活动支出。</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（五）社会保障和就业（类）行政事业单位养老支出（款）机关事业单位基本养老保险缴费支出（项）：指部门实施养老保险制度由单位缴纳的养老保险的支出。</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（六）社会保障和就业（类）其他社会保障和就业支出（款）其他社会保障和就业支出（项）：</w:t>
      </w:r>
      <w:r>
        <w:rPr>
          <w:rFonts w:hint="default" w:ascii="仿宋_GB2312" w:hAnsi="仿宋_GB2312" w:eastAsia="仿宋_GB2312" w:cs="仿宋_GB2312"/>
          <w:sz w:val="32"/>
          <w:szCs w:val="32"/>
        </w:rPr>
        <w:t>指</w:t>
      </w:r>
      <w:r>
        <w:rPr>
          <w:rFonts w:hint="eastAsia" w:ascii="仿宋_GB2312" w:hAnsi="仿宋_GB2312" w:eastAsia="仿宋_GB2312" w:cs="仿宋_GB2312"/>
          <w:sz w:val="32"/>
          <w:szCs w:val="32"/>
        </w:rPr>
        <w:t>其他用于社会保障和就业方面的支出。</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（七）卫生健康（类）行政事业单位医疗（款）行政单位医疗（项）：指机关及参公管理事业单位用于单位应缴纳基本医疗保险支出。</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（八）住房保障（类）住房改革支出（款）住房公积金（项）：指按照《住房公积金管理条例》的规定，由单位及其在职职工缴存的长期住房储金。</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（九）基本支出：指为保证机构正常运转，完成日常工作任务而发生的人员支出和公用支出。</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（十）项目支出：指在基本支出之外为完成特定行政任务和事业发展目标所发生的支出。</w:t>
      </w:r>
    </w:p>
    <w:p>
      <w:pPr>
        <w:widowControl/>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三公”经费：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pBdr>
          <w:bottom w:val="single" w:color="FFFFFF" w:sz="8" w:space="31"/>
        </w:pBdr>
        <w:shd w:val="clear" w:color="auto" w:fill="FFFFFF"/>
        <w:spacing w:line="580" w:lineRule="atLeas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二）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附件：单位预算公开表</w:t>
      </w: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zql5uc8AAAAF&#10;AQAADwAAAAAAAAABACAAAAA4AAAAZHJzL2Rvd25yZXYueG1sUEsBAhQAFAAAAAgAh07iQOq2OabW&#10;AQAAsgMAAA4AAAAAAAAAAQAgAAAANAEAAGRycy9lMm9Eb2MueG1sUEsFBgAAAAAGAAYAWQEAAHwF&#10;A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6067D5"/>
    <w:rsid w:val="00026D03"/>
    <w:rsid w:val="001F2541"/>
    <w:rsid w:val="002F5CE1"/>
    <w:rsid w:val="003848ED"/>
    <w:rsid w:val="004D7CDE"/>
    <w:rsid w:val="004E2DE1"/>
    <w:rsid w:val="004F79FE"/>
    <w:rsid w:val="005151CA"/>
    <w:rsid w:val="00521F2A"/>
    <w:rsid w:val="005725B6"/>
    <w:rsid w:val="005B32B5"/>
    <w:rsid w:val="005E438D"/>
    <w:rsid w:val="006067D5"/>
    <w:rsid w:val="006D1290"/>
    <w:rsid w:val="0084576A"/>
    <w:rsid w:val="00953307"/>
    <w:rsid w:val="009817DC"/>
    <w:rsid w:val="00B61D27"/>
    <w:rsid w:val="00BB4C05"/>
    <w:rsid w:val="00C34F9B"/>
    <w:rsid w:val="00CF36B7"/>
    <w:rsid w:val="00EB7378"/>
    <w:rsid w:val="00EC189A"/>
    <w:rsid w:val="00F02E6A"/>
    <w:rsid w:val="00F107CF"/>
    <w:rsid w:val="00F174AD"/>
    <w:rsid w:val="00F23EAC"/>
    <w:rsid w:val="00FD33D2"/>
    <w:rsid w:val="012352D1"/>
    <w:rsid w:val="1F7BF06F"/>
    <w:rsid w:val="1FEE4B73"/>
    <w:rsid w:val="23CE9849"/>
    <w:rsid w:val="39F304DD"/>
    <w:rsid w:val="3FFED4C1"/>
    <w:rsid w:val="4EDDC789"/>
    <w:rsid w:val="54244390"/>
    <w:rsid w:val="54662A63"/>
    <w:rsid w:val="55267F6E"/>
    <w:rsid w:val="553D0B7D"/>
    <w:rsid w:val="58064E12"/>
    <w:rsid w:val="5BFEE015"/>
    <w:rsid w:val="63EDCF55"/>
    <w:rsid w:val="63FBFBCF"/>
    <w:rsid w:val="669360FD"/>
    <w:rsid w:val="67FE82F2"/>
    <w:rsid w:val="68FF6A83"/>
    <w:rsid w:val="6FBBC9CF"/>
    <w:rsid w:val="72BDE561"/>
    <w:rsid w:val="78462278"/>
    <w:rsid w:val="7997EA6C"/>
    <w:rsid w:val="79F56C3D"/>
    <w:rsid w:val="7AEAE675"/>
    <w:rsid w:val="7B2F4986"/>
    <w:rsid w:val="7BAFCE5D"/>
    <w:rsid w:val="7BD54FFC"/>
    <w:rsid w:val="7CCD332E"/>
    <w:rsid w:val="7D46598C"/>
    <w:rsid w:val="7DFB240B"/>
    <w:rsid w:val="7E0935ED"/>
    <w:rsid w:val="7F54AC19"/>
    <w:rsid w:val="7F7BF795"/>
    <w:rsid w:val="7FCF2AF7"/>
    <w:rsid w:val="7FFF33C2"/>
    <w:rsid w:val="9FEF033D"/>
    <w:rsid w:val="A27FF1E5"/>
    <w:rsid w:val="A839DFAD"/>
    <w:rsid w:val="AFDEB5A7"/>
    <w:rsid w:val="AFEA7FBF"/>
    <w:rsid w:val="B83F4767"/>
    <w:rsid w:val="BF37D746"/>
    <w:rsid w:val="BF6C5702"/>
    <w:rsid w:val="BF930F07"/>
    <w:rsid w:val="BFCE8436"/>
    <w:rsid w:val="BFD70785"/>
    <w:rsid w:val="C3F7EB7A"/>
    <w:rsid w:val="CFF5FEEC"/>
    <w:rsid w:val="D3DD9064"/>
    <w:rsid w:val="D6F76A0C"/>
    <w:rsid w:val="D7ECE8D2"/>
    <w:rsid w:val="DFDD4FB5"/>
    <w:rsid w:val="DFFF86C5"/>
    <w:rsid w:val="E77F3D81"/>
    <w:rsid w:val="E7F748B5"/>
    <w:rsid w:val="EE5F3713"/>
    <w:rsid w:val="EFC9D62C"/>
    <w:rsid w:val="EFF6716F"/>
    <w:rsid w:val="F5EB03E5"/>
    <w:rsid w:val="F6BE9755"/>
    <w:rsid w:val="F6FFA89B"/>
    <w:rsid w:val="F71FAA7C"/>
    <w:rsid w:val="F8FC46F3"/>
    <w:rsid w:val="FAE4EFE1"/>
    <w:rsid w:val="FAFFA61F"/>
    <w:rsid w:val="FB7ED94A"/>
    <w:rsid w:val="FB9B6F12"/>
    <w:rsid w:val="FBB66A4A"/>
    <w:rsid w:val="FDEE6989"/>
    <w:rsid w:val="FE2B87B5"/>
    <w:rsid w:val="FF5E7DB8"/>
    <w:rsid w:val="FF77E367"/>
    <w:rsid w:val="FFD576EB"/>
    <w:rsid w:val="FFDF241E"/>
    <w:rsid w:val="FFFBE8B7"/>
    <w:rsid w:val="FFFF8A9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unhideWhenUsed/>
    <w:qFormat/>
    <w:uiPriority w:val="99"/>
    <w:pPr>
      <w:ind w:firstLine="420" w:firstLineChars="200"/>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1</Pages>
  <Words>864</Words>
  <Characters>4928</Characters>
  <Lines>1</Lines>
  <Paragraphs>1</Paragraphs>
  <TotalTime>0</TotalTime>
  <ScaleCrop>false</ScaleCrop>
  <LinksUpToDate>false</LinksUpToDate>
  <CharactersWithSpaces>5781</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2024-02-06T11:46:00Z</dcterms:created>
  <dc:creator>admin</dc:creator>
  <cp:lastModifiedBy> </cp:lastModifiedBy>
  <dcterms:modified xsi:type="dcterms:W3CDTF">2024-02-27T15:57:31Z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