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广元市中心血站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numberInDash" w:start="1" w:chapStyle="1" w:chapSep="hyphen"/>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78160"/>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30"/>
            <w:tabs>
              <w:tab w:val="right" w:leader="dot" w:pos="8845"/>
            </w:tabs>
            <w:spacing w:line="360" w:lineRule="auto"/>
            <w:rPr>
              <w:b/>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_Toc18635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highlight w:val="none"/>
              <w:lang w:val="en-US" w:eastAsia="zh-CN"/>
            </w:rPr>
            <w:t>一、基本职能及主要工作</w:t>
          </w:r>
          <w:r>
            <w:rPr>
              <w:b/>
            </w:rPr>
            <w:tab/>
          </w:r>
          <w:r>
            <w:rPr>
              <w:b/>
            </w:rPr>
            <w:fldChar w:fldCharType="begin"/>
          </w:r>
          <w:r>
            <w:rPr>
              <w:b/>
            </w:rPr>
            <w:instrText xml:space="preserve"> PAGEREF _Toc18635 \h </w:instrText>
          </w:r>
          <w:r>
            <w:rPr>
              <w:b/>
            </w:rPr>
            <w:fldChar w:fldCharType="separate"/>
          </w:r>
          <w:r>
            <w:rPr>
              <w:b/>
            </w:rPr>
            <w:t>- 1 -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_Toc17976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广元市中心血站</w:t>
          </w:r>
          <w:r>
            <w:rPr>
              <w:rFonts w:hint="eastAsia" w:ascii="楷体_GB2312" w:hAnsi="楷体_GB2312" w:eastAsia="楷体_GB2312" w:cs="楷体_GB2312"/>
              <w:szCs w:val="32"/>
            </w:rPr>
            <w:t>职</w:t>
          </w:r>
          <w:r>
            <w:rPr>
              <w:rFonts w:hint="eastAsia" w:ascii="楷体_GB2312" w:hAnsi="楷体_GB2312" w:eastAsia="楷体_GB2312" w:cs="楷体_GB2312"/>
              <w:szCs w:val="32"/>
              <w:lang w:val="en-US" w:eastAsia="zh-CN"/>
            </w:rPr>
            <w:t>能</w:t>
          </w:r>
          <w:r>
            <w:rPr>
              <w:rFonts w:hint="eastAsia" w:ascii="楷体_GB2312" w:hAnsi="楷体_GB2312" w:eastAsia="楷体_GB2312" w:cs="楷体_GB2312"/>
              <w:szCs w:val="32"/>
            </w:rPr>
            <w:t>简介</w:t>
          </w:r>
          <w:r>
            <w:tab/>
          </w:r>
          <w:r>
            <w:fldChar w:fldCharType="begin"/>
          </w:r>
          <w:r>
            <w:instrText xml:space="preserve"> PAGEREF _Toc17976 \h </w:instrText>
          </w:r>
          <w:r>
            <w:fldChar w:fldCharType="separate"/>
          </w:r>
          <w:r>
            <w:t>- 1 -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_Toc21028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广元市中心血站</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_Toc21028 \h </w:instrText>
          </w:r>
          <w:r>
            <w:fldChar w:fldCharType="separate"/>
          </w:r>
          <w:r>
            <w:t>- 1 -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_Toc11704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_Toc11704 \h </w:instrText>
          </w:r>
          <w:r>
            <w:rPr>
              <w:b/>
            </w:rPr>
            <w:fldChar w:fldCharType="separate"/>
          </w:r>
          <w:r>
            <w:rPr>
              <w:b/>
            </w:rPr>
            <w:t>- 2 -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_Toc14625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_Toc14625 \h </w:instrText>
          </w:r>
          <w:r>
            <w:rPr>
              <w:b/>
            </w:rPr>
            <w:fldChar w:fldCharType="separate"/>
          </w:r>
          <w:r>
            <w:rPr>
              <w:b/>
            </w:rPr>
            <w:t>- 2 -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_Toc10217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_Toc10217 \h </w:instrText>
          </w:r>
          <w:r>
            <w:fldChar w:fldCharType="separate"/>
          </w:r>
          <w:r>
            <w:t>- 3 -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_Toc9782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_Toc9782 \h </w:instrText>
          </w:r>
          <w:r>
            <w:fldChar w:fldCharType="separate"/>
          </w:r>
          <w:r>
            <w:t>- 3 -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_Toc4689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_Toc4689 \h </w:instrText>
          </w:r>
          <w:r>
            <w:rPr>
              <w:b/>
            </w:rPr>
            <w:fldChar w:fldCharType="separate"/>
          </w:r>
          <w:r>
            <w:rPr>
              <w:b/>
            </w:rPr>
            <w:t>- 3 -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_Toc1070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_Toc1070 \h </w:instrText>
          </w:r>
          <w:r>
            <w:rPr>
              <w:b/>
            </w:rPr>
            <w:fldChar w:fldCharType="separate"/>
          </w:r>
          <w:r>
            <w:rPr>
              <w:b/>
            </w:rPr>
            <w:t>- 3 -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_Toc2688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_Toc2688 \h </w:instrText>
          </w:r>
          <w:r>
            <w:fldChar w:fldCharType="separate"/>
          </w:r>
          <w:r>
            <w:t>- 3 -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_Toc10366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_Toc10366 \h </w:instrText>
          </w:r>
          <w:r>
            <w:fldChar w:fldCharType="separate"/>
          </w:r>
          <w:r>
            <w:t>- 4 -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_Toc11672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_Toc11672 \h </w:instrText>
          </w:r>
          <w:r>
            <w:fldChar w:fldCharType="separate"/>
          </w:r>
          <w:r>
            <w:t>- 4 -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_Toc27452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_Toc27452 \h </w:instrText>
          </w:r>
          <w:r>
            <w:rPr>
              <w:b/>
            </w:rPr>
            <w:fldChar w:fldCharType="separate"/>
          </w:r>
          <w:r>
            <w:rPr>
              <w:b/>
            </w:rPr>
            <w:t>- 4 -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_Toc19692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_Toc19692 \h </w:instrText>
          </w:r>
          <w:r>
            <w:rPr>
              <w:b/>
            </w:rPr>
            <w:fldChar w:fldCharType="separate"/>
          </w:r>
          <w:r>
            <w:rPr>
              <w:b/>
            </w:rPr>
            <w:t>- 5 -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_Toc5050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_Toc5050 \h </w:instrText>
          </w:r>
          <w:r>
            <w:fldChar w:fldCharType="separate"/>
          </w:r>
          <w:r>
            <w:t>- 5 -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_Toc2211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（二）公务用车购置及运行维护费</w:t>
          </w:r>
          <w:r>
            <w:tab/>
          </w:r>
          <w:r>
            <w:fldChar w:fldCharType="begin"/>
          </w:r>
          <w:r>
            <w:instrText xml:space="preserve"> PAGEREF _Toc2211 \h </w:instrText>
          </w:r>
          <w:r>
            <w:fldChar w:fldCharType="separate"/>
          </w:r>
          <w:r>
            <w:t>- 5 -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_Toc26393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lang w:val="en-US" w:eastAsia="zh-CN"/>
            </w:rPr>
            <w:t>（三）因公出国（境）经费</w:t>
          </w:r>
          <w:r>
            <w:tab/>
          </w:r>
          <w:r>
            <w:fldChar w:fldCharType="begin"/>
          </w:r>
          <w:r>
            <w:instrText xml:space="preserve"> PAGEREF _Toc26393 \h </w:instrText>
          </w:r>
          <w:r>
            <w:fldChar w:fldCharType="separate"/>
          </w:r>
          <w:r>
            <w:t>- 6 -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_Toc2193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_Toc2193 \h </w:instrText>
          </w:r>
          <w:r>
            <w:rPr>
              <w:b/>
            </w:rPr>
            <w:fldChar w:fldCharType="separate"/>
          </w:r>
          <w:r>
            <w:rPr>
              <w:b/>
            </w:rPr>
            <w:t>- 6 -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_Toc20559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_Toc20559 \h </w:instrText>
          </w:r>
          <w:r>
            <w:rPr>
              <w:b/>
            </w:rPr>
            <w:fldChar w:fldCharType="separate"/>
          </w:r>
          <w:r>
            <w:rPr>
              <w:b/>
            </w:rPr>
            <w:t>- 6 -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_Toc3223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_Toc3223 \h </w:instrText>
          </w:r>
          <w:r>
            <w:rPr>
              <w:b/>
            </w:rPr>
            <w:fldChar w:fldCharType="separate"/>
          </w:r>
          <w:r>
            <w:rPr>
              <w:b/>
            </w:rPr>
            <w:t>- 6 -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_Toc5486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_Toc5486 \h </w:instrText>
          </w:r>
          <w:r>
            <w:fldChar w:fldCharType="separate"/>
          </w:r>
          <w:r>
            <w:t>- 6 -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_Toc6475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_Toc6475 \h </w:instrText>
          </w:r>
          <w:r>
            <w:fldChar w:fldCharType="separate"/>
          </w:r>
          <w:r>
            <w:t>- 6 -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_Toc27706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_Toc27706 \h </w:instrText>
          </w:r>
          <w:r>
            <w:fldChar w:fldCharType="separate"/>
          </w:r>
          <w:r>
            <w:t>- 6 -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1"/>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_Toc27333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_Toc27333 \h </w:instrText>
          </w:r>
          <w:r>
            <w:fldChar w:fldCharType="separate"/>
          </w:r>
          <w:r>
            <w:t>- 7 -</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30"/>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_Toc4172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_Toc4172 \h </w:instrText>
          </w:r>
          <w:r>
            <w:rPr>
              <w:b/>
            </w:rPr>
            <w:fldChar w:fldCharType="separate"/>
          </w:r>
          <w:r>
            <w:rPr>
              <w:b/>
            </w:rPr>
            <w:t>- 7 -</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360" w:lineRule="auto"/>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4"/>
        <w:shd w:val="clear"/>
        <w:ind w:left="0" w:leftChars="0" w:firstLine="0" w:firstLineChars="0"/>
        <w:outlineLvl w:val="9"/>
        <w:rPr>
          <w:rFonts w:hint="eastAsia"/>
          <w:lang w:val="en-US" w:eastAsia="zh-CN"/>
        </w:rPr>
        <w:sectPr>
          <w:footerReference r:id="rId4" w:type="default"/>
          <w:pgSz w:w="11906" w:h="16838"/>
          <w:pgMar w:top="2098" w:right="1474" w:bottom="1984" w:left="1587" w:header="720" w:footer="1559" w:gutter="0"/>
          <w:pgNumType w:fmt="numberInDash" w:start="1" w:chapStyle="1" w:chapSep="hyphen"/>
          <w:cols w:space="720"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楷体_GB2312" w:hAnsi="楷体_GB2312" w:eastAsia="楷体_GB2312" w:cs="楷体_GB2312"/>
          <w:sz w:val="32"/>
          <w:szCs w:val="32"/>
        </w:rPr>
      </w:pPr>
      <w:bookmarkStart w:id="0" w:name="_Toc9711"/>
      <w:bookmarkStart w:id="1" w:name="_Toc18635"/>
      <w:bookmarkStart w:id="2" w:name="_Toc17388"/>
      <w:r>
        <w:rPr>
          <w:rFonts w:hint="eastAsia" w:ascii="黑体" w:hAnsi="黑体" w:eastAsia="黑体" w:cs="黑体"/>
          <w:sz w:val="32"/>
          <w:szCs w:val="32"/>
          <w:highlight w:val="none"/>
          <w:lang w:val="en-US" w:eastAsia="zh-CN"/>
        </w:rPr>
        <w:t>一、基本职能及主要工作</w:t>
      </w:r>
      <w:bookmarkEnd w:id="0"/>
      <w:bookmarkEnd w:id="1"/>
      <w:bookmarkEnd w:id="2"/>
    </w:p>
    <w:p>
      <w:pPr>
        <w:shd w:val="clear"/>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bookmarkStart w:id="3" w:name="_Toc1797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广元市中心血站</w:t>
      </w:r>
      <w:r>
        <w:rPr>
          <w:rFonts w:hint="eastAsia" w:ascii="楷体_GB2312" w:hAnsi="楷体_GB2312" w:eastAsia="楷体_GB2312" w:cs="楷体_GB2312"/>
          <w:sz w:val="32"/>
          <w:szCs w:val="32"/>
        </w:rPr>
        <w:t>职</w:t>
      </w:r>
      <w:r>
        <w:rPr>
          <w:rFonts w:hint="eastAsia" w:ascii="楷体_GB2312" w:hAnsi="楷体_GB2312" w:eastAsia="楷体_GB2312" w:cs="楷体_GB2312"/>
          <w:sz w:val="32"/>
          <w:szCs w:val="32"/>
          <w:lang w:val="en-US" w:eastAsia="zh-CN"/>
        </w:rPr>
        <w:t>能</w:t>
      </w:r>
      <w:r>
        <w:rPr>
          <w:rFonts w:hint="eastAsia" w:ascii="楷体_GB2312" w:hAnsi="楷体_GB2312" w:eastAsia="楷体_GB2312" w:cs="楷体_GB2312"/>
          <w:sz w:val="32"/>
          <w:szCs w:val="32"/>
        </w:rPr>
        <w:t>简介</w:t>
      </w:r>
      <w:bookmarkEnd w:id="3"/>
    </w:p>
    <w:p>
      <w:pPr>
        <w:keepNext w:val="0"/>
        <w:keepLines w:val="0"/>
        <w:pageBreakBefore w:val="0"/>
        <w:widowControl w:val="0"/>
        <w:shd w:val="clea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1.</w:t>
      </w:r>
      <w:r>
        <w:rPr>
          <w:rFonts w:hint="eastAsia" w:ascii="仿宋_GB2312" w:hAnsi="仿宋_GB2312" w:eastAsia="仿宋_GB2312" w:cs="仿宋_GB2312"/>
          <w:sz w:val="32"/>
          <w:szCs w:val="32"/>
          <w:lang w:val="en-US" w:eastAsia="zh-CN"/>
        </w:rPr>
        <w:t>依据《中华人民共和国献血法》的规定，保证医疗临床用血需要和安全，保障献血者和用血者身体健康，发扬人道主义精神，促进社会主义物质文明和精神文明建设。</w:t>
      </w:r>
    </w:p>
    <w:p>
      <w:pPr>
        <w:keepNext w:val="0"/>
        <w:keepLines w:val="0"/>
        <w:pageBreakBefore w:val="0"/>
        <w:widowControl w:val="0"/>
        <w:shd w:val="clear"/>
        <w:kinsoku/>
        <w:wordWrap/>
        <w:overflowPunct/>
        <w:topLinePunct w:val="0"/>
        <w:autoSpaceDE/>
        <w:autoSpaceDN/>
        <w:bidi w:val="0"/>
        <w:adjustRightInd w:val="0"/>
        <w:snapToGrid w:val="0"/>
        <w:spacing w:line="576" w:lineRule="exact"/>
        <w:ind w:left="0" w:leftChars="0" w:right="0" w:rightChars="0"/>
        <w:jc w:val="both"/>
        <w:textAlignment w:val="auto"/>
        <w:outlineLvl w:val="9"/>
        <w:rPr>
          <w:rFonts w:hint="eastAsia" w:ascii="仿宋" w:hAnsi="仿宋" w:eastAsia="仿宋" w:cs="仿宋"/>
          <w:b w:val="0"/>
          <w:bCs w:val="0"/>
          <w:sz w:val="32"/>
          <w:szCs w:val="32"/>
        </w:rPr>
      </w:pPr>
      <w:r>
        <w:rPr>
          <w:rFonts w:hint="eastAsia" w:ascii="仿宋_GB2312" w:hAnsi="仿宋_GB2312" w:eastAsia="仿宋_GB2312" w:cs="仿宋_GB2312"/>
          <w:sz w:val="32"/>
          <w:szCs w:val="32"/>
          <w:lang w:val="en-US" w:eastAsia="zh-CN"/>
        </w:rPr>
        <w:t xml:space="preserve">    2.负责按照在规定范围内开展无偿献血者的招募，献血前的人员筛选，血液的采集、献血后的服务，血液的制备，临床用血供应以及医疗用血的业务指导等工作；负责承担供血区域范围内血液储存的质量控制与评价。</w:t>
      </w:r>
    </w:p>
    <w:p>
      <w:pPr>
        <w:keepNext w:val="0"/>
        <w:keepLines w:val="0"/>
        <w:pageBreakBefore w:val="0"/>
        <w:widowControl w:val="0"/>
        <w:shd w:val="clear"/>
        <w:kinsoku/>
        <w:wordWrap/>
        <w:overflowPunct/>
        <w:topLinePunct w:val="0"/>
        <w:autoSpaceDE/>
        <w:autoSpaceDN/>
        <w:bidi w:val="0"/>
        <w:adjustRightInd w:val="0"/>
        <w:snapToGrid w:val="0"/>
        <w:spacing w:line="576" w:lineRule="exact"/>
        <w:ind w:left="0" w:leftChars="0" w:right="0" w:rightChars="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 xml:space="preserve">    </w:t>
      </w:r>
      <w:r>
        <w:rPr>
          <w:rFonts w:hint="eastAsia" w:ascii="仿宋_GB2312" w:hAnsi="仿宋_GB2312" w:eastAsia="仿宋_GB2312" w:cs="仿宋_GB2312"/>
          <w:sz w:val="32"/>
          <w:szCs w:val="32"/>
          <w:lang w:val="en-US" w:eastAsia="zh-CN"/>
        </w:rPr>
        <w:t>3.负责对所辖行政区域内的中心血库进行质量控制和业务培训与技术指导。</w:t>
      </w:r>
    </w:p>
    <w:p>
      <w:pPr>
        <w:keepNext w:val="0"/>
        <w:keepLines w:val="0"/>
        <w:pageBreakBefore w:val="0"/>
        <w:widowControl w:val="0"/>
        <w:shd w:val="clear"/>
        <w:kinsoku/>
        <w:wordWrap/>
        <w:overflowPunct/>
        <w:topLinePunct w:val="0"/>
        <w:autoSpaceDE/>
        <w:autoSpaceDN/>
        <w:bidi w:val="0"/>
        <w:adjustRightInd w:val="0"/>
        <w:snapToGrid w:val="0"/>
        <w:spacing w:line="576" w:lineRule="exact"/>
        <w:ind w:left="0" w:leftChars="0" w:right="0" w:rightChars="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 xml:space="preserve">    </w:t>
      </w:r>
      <w:r>
        <w:rPr>
          <w:rFonts w:hint="eastAsia" w:ascii="仿宋_GB2312" w:hAnsi="仿宋_GB2312" w:eastAsia="仿宋_GB2312" w:cs="仿宋_GB2312"/>
          <w:sz w:val="32"/>
          <w:szCs w:val="32"/>
          <w:lang w:val="en-US" w:eastAsia="zh-CN"/>
        </w:rPr>
        <w:t>4.负责采供血管理系统业务信息报道、网络信息上传、网站维护及网络建设工作。</w:t>
      </w:r>
    </w:p>
    <w:p>
      <w:pPr>
        <w:keepNext w:val="0"/>
        <w:keepLines w:val="0"/>
        <w:pageBreakBefore w:val="0"/>
        <w:widowControl w:val="0"/>
        <w:shd w:val="clea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5.负责宣传、组织应急献血者队伍建设、志愿者协会联络，临床用血退费管理工作。</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6.承办卫生行政部门交办的其他事项。</w:t>
      </w:r>
    </w:p>
    <w:p>
      <w:pPr>
        <w:shd w:val="clear"/>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bookmarkStart w:id="4" w:name="_Toc21028"/>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广元市中心血站</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4"/>
    </w:p>
    <w:p>
      <w:pPr>
        <w:keepNext w:val="0"/>
        <w:keepLines w:val="0"/>
        <w:pageBreakBefore w:val="0"/>
        <w:widowControl w:val="0"/>
        <w:shd w:val="clear"/>
        <w:kinsoku/>
        <w:wordWrap/>
        <w:overflowPunct/>
        <w:topLinePunct w:val="0"/>
        <w:autoSpaceDN/>
        <w:bidi w:val="0"/>
        <w:snapToGrid/>
        <w:spacing w:line="576" w:lineRule="exact"/>
        <w:ind w:left="0" w:leftChars="0" w:right="0" w:rightChars="0" w:firstLine="640" w:firstLineChars="200"/>
        <w:jc w:val="left"/>
        <w:textAlignment w:val="auto"/>
        <w:outlineLvl w:val="9"/>
        <w:rPr>
          <w:rFonts w:hint="eastAsia" w:ascii="仿宋_GB2312" w:hAnsi="仿宋_GB2312" w:eastAsia="仿宋_GB2312" w:cs="仿宋_GB2312"/>
          <w:b w:val="0"/>
          <w:bCs w:val="0"/>
          <w:snapToGrid w:val="0"/>
          <w:color w:val="000000" w:themeColor="text1"/>
          <w:spacing w:val="0"/>
          <w:w w:val="100"/>
          <w:kern w:val="0"/>
          <w:sz w:val="32"/>
          <w:szCs w:val="32"/>
          <w:lang w:val="en-US"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0"/>
          <w:w w:val="100"/>
          <w:kern w:val="0"/>
          <w:sz w:val="32"/>
          <w:szCs w:val="32"/>
          <w:lang w:val="en-US" w:eastAsia="zh-CN" w:bidi="ar-SA"/>
          <w14:textFill>
            <w14:solidFill>
              <w14:schemeClr w14:val="tx1"/>
            </w14:solidFill>
          </w14:textFill>
        </w:rPr>
        <w:t>1.</w:t>
      </w:r>
      <w:r>
        <w:rPr>
          <w:rFonts w:hint="eastAsia" w:ascii="仿宋_GB2312" w:hAnsi="仿宋_GB2312" w:eastAsia="仿宋_GB2312" w:cs="仿宋_GB2312"/>
          <w:b w:val="0"/>
          <w:bCs w:val="0"/>
          <w:snapToGrid w:val="0"/>
          <w:color w:val="000000" w:themeColor="text1"/>
          <w:spacing w:val="0"/>
          <w:w w:val="100"/>
          <w:kern w:val="0"/>
          <w:sz w:val="32"/>
          <w:szCs w:val="32"/>
          <w:lang w:val="zh-CN" w:eastAsia="zh-CN" w:bidi="ar-SA"/>
          <w14:textFill>
            <w14:solidFill>
              <w14:schemeClr w14:val="tx1"/>
            </w14:solidFill>
          </w14:textFill>
        </w:rPr>
        <w:t>守正创新，坚定不移推进全面从严治党。</w:t>
      </w:r>
      <w:r>
        <w:rPr>
          <w:rFonts w:hint="eastAsia" w:ascii="仿宋_GB2312" w:hAnsi="仿宋_GB2312" w:eastAsia="仿宋_GB2312" w:cs="仿宋_GB2312"/>
          <w:sz w:val="32"/>
          <w:szCs w:val="32"/>
          <w:lang w:val="en-US" w:eastAsia="zh-CN"/>
        </w:rPr>
        <w:t>始终坚持以习近平新时代中国特色社会主义思想为指引，</w:t>
      </w:r>
      <w:r>
        <w:rPr>
          <w:rFonts w:hint="eastAsia" w:ascii="仿宋_GB2312" w:hAnsi="仿宋_GB2312" w:eastAsia="仿宋_GB2312" w:cs="仿宋_GB2312"/>
          <w:sz w:val="32"/>
          <w:szCs w:val="32"/>
        </w:rPr>
        <w:t>全面落实新时代党的建设总要求，</w:t>
      </w:r>
      <w:r>
        <w:rPr>
          <w:rFonts w:hint="eastAsia" w:ascii="仿宋_GB2312" w:hAnsi="仿宋_GB2312" w:eastAsia="仿宋_GB2312" w:cs="仿宋_GB2312"/>
          <w:sz w:val="32"/>
          <w:szCs w:val="32"/>
          <w:lang w:eastAsia="zh-CN"/>
        </w:rPr>
        <w:t>严格履行</w:t>
      </w:r>
      <w:r>
        <w:rPr>
          <w:rFonts w:hint="eastAsia" w:ascii="仿宋_GB2312" w:hAnsi="仿宋_GB2312" w:eastAsia="仿宋_GB2312" w:cs="仿宋_GB2312"/>
          <w:sz w:val="32"/>
          <w:szCs w:val="32"/>
        </w:rPr>
        <w:t>全面从严治党政治责任，</w:t>
      </w:r>
      <w:r>
        <w:rPr>
          <w:rFonts w:hint="eastAsia" w:ascii="仿宋_GB2312" w:hAnsi="仿宋_GB2312" w:eastAsia="仿宋_GB2312" w:cs="仿宋_GB2312"/>
          <w:spacing w:val="0"/>
          <w:sz w:val="32"/>
          <w:szCs w:val="32"/>
          <w:lang w:eastAsia="zh-CN"/>
        </w:rPr>
        <w:t>慎终如始抓好党员干部政治理论学习，</w:t>
      </w:r>
      <w:r>
        <w:rPr>
          <w:rFonts w:hint="eastAsia" w:ascii="仿宋_GB2312" w:hAnsi="仿宋_GB2312" w:eastAsia="仿宋_GB2312" w:cs="仿宋_GB2312"/>
          <w:sz w:val="32"/>
          <w:szCs w:val="32"/>
          <w:lang w:eastAsia="zh-CN"/>
        </w:rPr>
        <w:t>切实加强</w:t>
      </w:r>
      <w:r>
        <w:rPr>
          <w:rFonts w:hint="eastAsia" w:ascii="仿宋_GB2312" w:hAnsi="仿宋_GB2312" w:eastAsia="仿宋_GB2312" w:cs="仿宋_GB2312"/>
          <w:b w:val="0"/>
          <w:bCs w:val="0"/>
          <w:snapToGrid w:val="0"/>
          <w:color w:val="000000" w:themeColor="text1"/>
          <w:spacing w:val="0"/>
          <w:w w:val="100"/>
          <w:kern w:val="0"/>
          <w:sz w:val="32"/>
          <w:szCs w:val="32"/>
          <w:lang w:val="en-US" w:eastAsia="zh-CN" w:bidi="ar-SA"/>
          <w14:textFill>
            <w14:solidFill>
              <w14:schemeClr w14:val="tx1"/>
            </w14:solidFill>
          </w14:textFill>
        </w:rPr>
        <w:t>党风廉政教育、反腐败斗争和</w:t>
      </w:r>
      <w:r>
        <w:rPr>
          <w:rFonts w:hint="eastAsia" w:ascii="仿宋_GB2312" w:hAnsi="仿宋_GB2312" w:eastAsia="仿宋_GB2312" w:cs="仿宋_GB2312"/>
          <w:sz w:val="32"/>
          <w:szCs w:val="32"/>
          <w:lang w:eastAsia="zh-CN"/>
        </w:rPr>
        <w:t>意识形态工作，持续推进乡村振兴工作。</w:t>
      </w:r>
    </w:p>
    <w:p>
      <w:pPr>
        <w:keepNext w:val="0"/>
        <w:keepLines w:val="0"/>
        <w:pageBreakBefore w:val="0"/>
        <w:widowControl w:val="0"/>
        <w:shd w:val="clear"/>
        <w:kinsoku/>
        <w:wordWrap/>
        <w:overflowPunct w:val="0"/>
        <w:topLinePunct w:val="0"/>
        <w:autoSpaceDE w:val="0"/>
        <w:autoSpaceDN/>
        <w:bidi w:val="0"/>
        <w:adjustRightInd w:val="0"/>
        <w:snapToGrid w:val="0"/>
        <w:spacing w:line="576" w:lineRule="exact"/>
        <w:ind w:left="0" w:leftChars="0" w:right="0" w:rightChars="0" w:firstLine="640" w:firstLineChars="200"/>
        <w:jc w:val="both"/>
        <w:textAlignment w:val="auto"/>
        <w:outlineLvl w:val="9"/>
        <w:rPr>
          <w:rFonts w:hint="eastAsia" w:ascii="仿宋_GB2312" w:hAnsi="仿宋_GB2312" w:eastAsia="仿宋_GB2312" w:cs="仿宋_GB2312"/>
          <w:b w:val="0"/>
          <w:bCs w:val="0"/>
          <w:snapToGrid w:val="0"/>
          <w:color w:val="000000" w:themeColor="text1"/>
          <w:spacing w:val="0"/>
          <w:w w:val="100"/>
          <w:kern w:val="0"/>
          <w:sz w:val="32"/>
          <w:szCs w:val="32"/>
          <w:lang w:eastAsia="zh-CN"/>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0"/>
          <w:w w:val="100"/>
          <w:kern w:val="0"/>
          <w:sz w:val="32"/>
          <w:szCs w:val="32"/>
          <w:lang w:val="en-US" w:eastAsia="zh-CN" w:bidi="ar-SA"/>
          <w14:textFill>
            <w14:solidFill>
              <w14:schemeClr w14:val="tx1"/>
            </w14:solidFill>
          </w14:textFill>
        </w:rPr>
        <w:t>2.</w:t>
      </w:r>
      <w:r>
        <w:rPr>
          <w:rFonts w:hint="eastAsia" w:ascii="仿宋_GB2312" w:hAnsi="仿宋_GB2312" w:eastAsia="仿宋_GB2312" w:cs="仿宋_GB2312"/>
          <w:b w:val="0"/>
          <w:bCs w:val="0"/>
          <w:snapToGrid w:val="0"/>
          <w:color w:val="000000" w:themeColor="text1"/>
          <w:spacing w:val="0"/>
          <w:w w:val="100"/>
          <w:kern w:val="0"/>
          <w:sz w:val="32"/>
          <w:szCs w:val="32"/>
          <w:lang w:val="zh-CN" w:eastAsia="zh-CN" w:bidi="ar-SA"/>
          <w14:textFill>
            <w14:solidFill>
              <w14:schemeClr w14:val="tx1"/>
            </w14:solidFill>
          </w14:textFill>
        </w:rPr>
        <w:t>多措并举，有效缓解血液保障“紧平衡”。</w:t>
      </w:r>
      <w:r>
        <w:rPr>
          <w:rFonts w:hint="eastAsia" w:ascii="仿宋_GB2312" w:hAnsi="仿宋_GB2312" w:eastAsia="仿宋_GB2312" w:cs="仿宋_GB2312"/>
          <w:b w:val="0"/>
          <w:bCs w:val="0"/>
          <w:snapToGrid w:val="0"/>
          <w:color w:val="000000" w:themeColor="text1"/>
          <w:spacing w:val="0"/>
          <w:w w:val="100"/>
          <w:kern w:val="0"/>
          <w:sz w:val="32"/>
          <w:szCs w:val="32"/>
          <w:lang w:eastAsia="zh-CN"/>
          <w14:textFill>
            <w14:solidFill>
              <w14:schemeClr w14:val="tx1"/>
            </w14:solidFill>
          </w14:textFill>
        </w:rPr>
        <w:t>结合医疗机构用血情况合理制定采血计划，加强宣传发动，加大队伍建设，提升无偿献血知晓率和参与度。</w:t>
      </w:r>
    </w:p>
    <w:p>
      <w:pPr>
        <w:keepNext w:val="0"/>
        <w:keepLines w:val="0"/>
        <w:pageBreakBefore w:val="0"/>
        <w:widowControl w:val="0"/>
        <w:shd w:val="clear"/>
        <w:kinsoku/>
        <w:wordWrap/>
        <w:overflowPunct w:val="0"/>
        <w:topLinePunct w:val="0"/>
        <w:autoSpaceDE w:val="0"/>
        <w:autoSpaceDN/>
        <w:bidi w:val="0"/>
        <w:adjustRightInd w:val="0"/>
        <w:snapToGrid w:val="0"/>
        <w:spacing w:line="576" w:lineRule="exact"/>
        <w:ind w:left="0" w:leftChars="0" w:right="0" w:rightChars="0" w:firstLine="640" w:firstLineChars="200"/>
        <w:jc w:val="both"/>
        <w:textAlignment w:val="auto"/>
        <w:outlineLvl w:val="9"/>
        <w:rPr>
          <w:rFonts w:hint="eastAsia" w:ascii="仿宋_GB2312" w:hAnsi="仿宋_GB2312" w:eastAsia="仿宋_GB2312" w:cs="仿宋_GB2312"/>
          <w:b w:val="0"/>
          <w:bCs w:val="0"/>
          <w:snapToGrid w:val="0"/>
          <w:color w:val="000000" w:themeColor="text1"/>
          <w:spacing w:val="0"/>
          <w:w w:val="100"/>
          <w:kern w:val="0"/>
          <w:sz w:val="32"/>
          <w:szCs w:val="32"/>
          <w:lang w:eastAsia="zh-CN"/>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0"/>
          <w:w w:val="100"/>
          <w:kern w:val="0"/>
          <w:sz w:val="32"/>
          <w:szCs w:val="32"/>
          <w:lang w:val="en-US" w:eastAsia="zh-CN" w:bidi="ar-SA"/>
          <w14:textFill>
            <w14:solidFill>
              <w14:schemeClr w14:val="tx1"/>
            </w14:solidFill>
          </w14:textFill>
        </w:rPr>
        <w:t>3.</w:t>
      </w:r>
      <w:r>
        <w:rPr>
          <w:rFonts w:hint="eastAsia" w:ascii="仿宋_GB2312" w:hAnsi="仿宋_GB2312" w:eastAsia="仿宋_GB2312" w:cs="仿宋_GB2312"/>
          <w:b w:val="0"/>
          <w:bCs w:val="0"/>
          <w:snapToGrid w:val="0"/>
          <w:color w:val="000000" w:themeColor="text1"/>
          <w:spacing w:val="0"/>
          <w:w w:val="100"/>
          <w:kern w:val="0"/>
          <w:sz w:val="32"/>
          <w:szCs w:val="32"/>
          <w:lang w:val="zh-CN" w:eastAsia="zh-CN" w:bidi="ar-SA"/>
          <w14:textFill>
            <w14:solidFill>
              <w14:schemeClr w14:val="tx1"/>
            </w14:solidFill>
          </w14:textFill>
        </w:rPr>
        <w:t>主动出击，完善无偿献血考核激励机制。</w:t>
      </w:r>
      <w:r>
        <w:rPr>
          <w:rFonts w:hint="eastAsia" w:ascii="仿宋_GB2312" w:hAnsi="仿宋_GB2312" w:eastAsia="仿宋_GB2312" w:cs="仿宋_GB2312"/>
          <w:b w:val="0"/>
          <w:bCs w:val="0"/>
          <w:snapToGrid w:val="0"/>
          <w:color w:val="000000" w:themeColor="text1"/>
          <w:spacing w:val="0"/>
          <w:w w:val="100"/>
          <w:kern w:val="0"/>
          <w:sz w:val="32"/>
          <w:szCs w:val="32"/>
          <w:lang w:eastAsia="zh-CN"/>
          <w14:textFill>
            <w14:solidFill>
              <w14:schemeClr w14:val="tx1"/>
            </w14:solidFill>
          </w14:textFill>
        </w:rPr>
        <w:t>极争取政策支持，扩大无偿献血工作纳入各级政府综合目标和精神文明建设考核范围。加强与文广旅、国资委等部门的沟通，协同推进无偿献血“三免”优惠政策落实落地，提升献血者获得感。</w:t>
      </w:r>
    </w:p>
    <w:p>
      <w:pPr>
        <w:keepNext w:val="0"/>
        <w:keepLines w:val="0"/>
        <w:pageBreakBefore w:val="0"/>
        <w:widowControl w:val="0"/>
        <w:shd w:val="clear"/>
        <w:kinsoku/>
        <w:wordWrap/>
        <w:topLinePunct w:val="0"/>
        <w:autoSpaceDN/>
        <w:bidi w:val="0"/>
        <w:spacing w:line="576" w:lineRule="exact"/>
        <w:ind w:left="0" w:leftChars="0" w:right="0" w:rightChars="0" w:firstLine="640" w:firstLineChars="200"/>
        <w:textAlignment w:val="auto"/>
        <w:outlineLvl w:val="9"/>
        <w:rPr>
          <w:rFonts w:hint="eastAsia" w:ascii="仿宋_GB2312" w:hAnsi="仿宋_GB2312" w:eastAsia="仿宋_GB2312" w:cs="仿宋_GB2312"/>
        </w:rPr>
      </w:pPr>
      <w:r>
        <w:rPr>
          <w:rFonts w:hint="eastAsia" w:ascii="仿宋_GB2312" w:hAnsi="仿宋_GB2312" w:eastAsia="仿宋_GB2312" w:cs="仿宋_GB2312"/>
          <w:b w:val="0"/>
          <w:bCs w:val="0"/>
          <w:snapToGrid w:val="0"/>
          <w:color w:val="000000" w:themeColor="text1"/>
          <w:spacing w:val="0"/>
          <w:w w:val="100"/>
          <w:kern w:val="0"/>
          <w:sz w:val="32"/>
          <w:szCs w:val="32"/>
          <w:lang w:val="en-US" w:eastAsia="zh-CN" w:bidi="ar-SA"/>
          <w14:textFill>
            <w14:solidFill>
              <w14:schemeClr w14:val="tx1"/>
            </w14:solidFill>
          </w14:textFill>
        </w:rPr>
        <w:t>4.</w:t>
      </w:r>
      <w:r>
        <w:rPr>
          <w:rFonts w:hint="eastAsia" w:ascii="仿宋_GB2312" w:hAnsi="仿宋_GB2312" w:eastAsia="仿宋_GB2312" w:cs="仿宋_GB2312"/>
          <w:b w:val="0"/>
          <w:bCs w:val="0"/>
          <w:snapToGrid w:val="0"/>
          <w:color w:val="000000" w:themeColor="text1"/>
          <w:spacing w:val="0"/>
          <w:w w:val="100"/>
          <w:kern w:val="0"/>
          <w:sz w:val="32"/>
          <w:szCs w:val="32"/>
          <w:lang w:val="zh-CN" w:eastAsia="zh-CN" w:bidi="ar-SA"/>
          <w14:textFill>
            <w14:solidFill>
              <w14:schemeClr w14:val="tx1"/>
            </w14:solidFill>
          </w14:textFill>
        </w:rPr>
        <w:t>锚定重点，加强采供血人才队伍建设。</w:t>
      </w:r>
      <w:r>
        <w:rPr>
          <w:rFonts w:hint="eastAsia" w:ascii="仿宋_GB2312" w:hAnsi="仿宋_GB2312" w:eastAsia="仿宋_GB2312" w:cs="仿宋_GB2312"/>
          <w:b w:val="0"/>
          <w:bCs w:val="0"/>
          <w:snapToGrid w:val="0"/>
          <w:color w:val="000000" w:themeColor="text1"/>
          <w:spacing w:val="0"/>
          <w:w w:val="100"/>
          <w:kern w:val="0"/>
          <w:sz w:val="32"/>
          <w:szCs w:val="32"/>
          <w14:textFill>
            <w14:solidFill>
              <w14:schemeClr w14:val="tx1"/>
            </w14:solidFill>
          </w14:textFill>
        </w:rPr>
        <w:t>积极争取编制数量，加强与高等医学院校合作，鼓励在职员工提升学历、考研深造，</w:t>
      </w:r>
      <w:r>
        <w:rPr>
          <w:rFonts w:hint="eastAsia" w:ascii="仿宋_GB2312" w:hAnsi="仿宋_GB2312" w:eastAsia="仿宋_GB2312" w:cs="仿宋_GB2312"/>
          <w:b w:val="0"/>
          <w:bCs w:val="0"/>
          <w:snapToGrid w:val="0"/>
          <w:color w:val="000000" w:themeColor="text1"/>
          <w:spacing w:val="0"/>
          <w:w w:val="100"/>
          <w:kern w:val="0"/>
          <w:sz w:val="32"/>
          <w:szCs w:val="32"/>
          <w:lang w:eastAsia="zh-CN"/>
          <w14:textFill>
            <w14:solidFill>
              <w14:schemeClr w14:val="tx1"/>
            </w14:solidFill>
          </w14:textFill>
        </w:rPr>
        <w:t>逐步提升卫生专业技术人员占比，切实解决学历结构、职称结构不优的问题。进一步完善绩效分配机制，争取政策提高采供血队伍待遇，</w:t>
      </w:r>
      <w:r>
        <w:rPr>
          <w:rFonts w:hint="eastAsia" w:ascii="仿宋_GB2312" w:hAnsi="仿宋_GB2312" w:eastAsia="仿宋_GB2312" w:cs="仿宋_GB2312"/>
          <w:b w:val="0"/>
          <w:bCs w:val="0"/>
          <w:snapToGrid w:val="0"/>
          <w:color w:val="000000" w:themeColor="text1"/>
          <w:spacing w:val="0"/>
          <w:w w:val="100"/>
          <w:kern w:val="0"/>
          <w:sz w:val="32"/>
          <w:szCs w:val="32"/>
          <w14:textFill>
            <w14:solidFill>
              <w14:schemeClr w14:val="tx1"/>
            </w14:solidFill>
          </w14:textFill>
        </w:rPr>
        <w:t>创造良好的人才留用环境，建设合理、稳定的采供血人才队伍。</w:t>
      </w:r>
    </w:p>
    <w:p>
      <w:pPr>
        <w:shd w:val="clear"/>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bookmarkStart w:id="5" w:name="_Toc11704"/>
      <w:r>
        <w:rPr>
          <w:rFonts w:hint="eastAsia" w:ascii="黑体" w:hAnsi="黑体" w:eastAsia="黑体" w:cs="黑体"/>
          <w:sz w:val="32"/>
          <w:szCs w:val="32"/>
          <w:lang w:val="en-US" w:eastAsia="zh-CN"/>
        </w:rPr>
        <w:t>二、部门预算单位构成</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广元市中心血站为广元市卫生健康委员会下属二级预算单位，本单位无下属机构，设有内设科室13个。</w:t>
      </w:r>
    </w:p>
    <w:p>
      <w:pPr>
        <w:shd w:val="clear"/>
        <w:outlineLvl w:val="0"/>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bookmarkStart w:id="6" w:name="_Toc14625"/>
      <w:r>
        <w:rPr>
          <w:rFonts w:hint="eastAsia" w:ascii="黑体" w:hAnsi="黑体" w:eastAsia="黑体" w:cs="黑体"/>
          <w:sz w:val="32"/>
          <w:szCs w:val="32"/>
          <w:lang w:val="en-US" w:eastAsia="zh-CN"/>
        </w:rPr>
        <w:t>三、收支预算情况说明</w:t>
      </w:r>
      <w:bookmarkEnd w:id="6"/>
    </w:p>
    <w:p>
      <w:pPr>
        <w:keepNext w:val="0"/>
        <w:keepLines w:val="0"/>
        <w:pageBreakBefore w:val="0"/>
        <w:shd w:val="clear"/>
        <w:kinsoku/>
        <w:wordWrap/>
        <w:overflowPunct/>
        <w:topLinePunct w:val="0"/>
        <w:autoSpaceDE/>
        <w:autoSpaceDN/>
        <w:bidi w:val="0"/>
        <w:spacing w:beforeAutospacing="0" w:line="576" w:lineRule="exact"/>
        <w:ind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中心血站所有收入和支出均纳入单位预算管理。收入包括：一般公共预算拨款收入；支出包括：社会保障和就业支出、卫生健康支出、住房保障支出。广元市中心血站2024年收支预算总数2420.01万元，比2023年收支预算总数2331.37万元增加88.64万元，主要原因是</w:t>
      </w:r>
      <w:r>
        <w:rPr>
          <w:rFonts w:hint="eastAsia" w:ascii="仿宋_GB2312" w:hAnsi="仿宋_GB2312" w:eastAsia="仿宋_GB2312" w:cs="仿宋_GB2312"/>
          <w:sz w:val="32"/>
          <w:szCs w:val="32"/>
          <w:highlight w:val="none"/>
          <w:lang w:val="en-US" w:eastAsia="zh-CN"/>
        </w:rPr>
        <w:t>采供血成本增长，财政调整统筹比例增加项目支出预算。</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7" w:name="_Toc10217"/>
      <w:r>
        <w:rPr>
          <w:rFonts w:hint="eastAsia" w:ascii="楷体_GB2312" w:hAnsi="楷体_GB2312" w:eastAsia="楷体_GB2312" w:cs="楷体_GB2312"/>
          <w:sz w:val="32"/>
          <w:szCs w:val="32"/>
          <w:lang w:val="en-US" w:eastAsia="zh-CN"/>
        </w:rPr>
        <w:t>（一）收入预算情况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广元市中心血站2024年收入预算2420.01万元，其中：一般公共预算拨款收入2420.01万元，占100%.</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8" w:name="_Toc9782"/>
      <w:r>
        <w:rPr>
          <w:rFonts w:hint="eastAsia" w:ascii="楷体_GB2312" w:hAnsi="楷体_GB2312" w:eastAsia="楷体_GB2312" w:cs="楷体_GB2312"/>
          <w:sz w:val="32"/>
          <w:szCs w:val="32"/>
          <w:lang w:val="en-US" w:eastAsia="zh-CN"/>
        </w:rPr>
        <w:t>（二）支出预算情况</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广元市中心血站2024年支出预算2420.01万元，其中：基本支出616.37万元，占25.47%；项目支出1803.64万元，占74.53%</w:t>
      </w:r>
      <w:r>
        <w:rPr>
          <w:rFonts w:hint="eastAsia" w:ascii="仿宋_GB2312" w:hAnsi="仿宋_GB2312" w:eastAsia="仿宋_GB2312" w:cs="仿宋_GB2312"/>
          <w:b w:val="0"/>
          <w:bCs w:val="0"/>
          <w:sz w:val="32"/>
          <w:szCs w:val="32"/>
          <w:lang w:val="en-US" w:eastAsia="zh-CN"/>
        </w:rPr>
        <w:t>。</w:t>
      </w:r>
    </w:p>
    <w:p>
      <w:pPr>
        <w:shd w:val="clear"/>
        <w:outlineLvl w:val="0"/>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bookmarkStart w:id="9" w:name="_Toc4689"/>
      <w:r>
        <w:rPr>
          <w:rFonts w:hint="eastAsia" w:ascii="黑体" w:hAnsi="黑体" w:eastAsia="黑体" w:cs="黑体"/>
          <w:sz w:val="32"/>
          <w:szCs w:val="32"/>
          <w:lang w:val="en-US" w:eastAsia="zh-CN"/>
        </w:rPr>
        <w:t>四、财政拨款收支预算情况说明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广元市中心血站2024年财政拨款收支预算总数2420.01万元，比2023年财政拨款收支预算总数2331.37万元增加88.64万元，主要原因是</w:t>
      </w:r>
      <w:r>
        <w:rPr>
          <w:rFonts w:hint="eastAsia" w:ascii="仿宋_GB2312" w:hAnsi="仿宋_GB2312" w:eastAsia="仿宋_GB2312" w:cs="仿宋_GB2312"/>
          <w:sz w:val="32"/>
          <w:szCs w:val="32"/>
          <w:highlight w:val="none"/>
          <w:lang w:val="en-US" w:eastAsia="zh-CN"/>
        </w:rPr>
        <w:t>采供血成本增长，财政调整统筹比例增加项目支出预算。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收入包括：本年一般公共预算拨款收入2420.01万元；支出包括：社会保障和就业支出59.33万元、卫生健康支出2316.09万元、住房保障支出44.59万元。</w:t>
      </w:r>
    </w:p>
    <w:p>
      <w:pPr>
        <w:shd w:val="clear"/>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bookmarkStart w:id="10" w:name="_Toc1070"/>
      <w:r>
        <w:rPr>
          <w:rFonts w:hint="eastAsia" w:ascii="黑体" w:hAnsi="黑体" w:eastAsia="黑体" w:cs="黑体"/>
          <w:sz w:val="32"/>
          <w:szCs w:val="32"/>
          <w:lang w:val="en-US" w:eastAsia="zh-CN"/>
        </w:rPr>
        <w:t>五、一般公共预算当年拨款情况说明</w:t>
      </w:r>
      <w:bookmarkEnd w:id="10"/>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11" w:name="_Toc2688"/>
      <w:r>
        <w:rPr>
          <w:rFonts w:hint="eastAsia" w:ascii="楷体_GB2312" w:hAnsi="楷体_GB2312" w:eastAsia="楷体_GB2312" w:cs="楷体_GB2312"/>
          <w:sz w:val="32"/>
          <w:szCs w:val="32"/>
          <w:lang w:val="en-US" w:eastAsia="zh-CN"/>
        </w:rPr>
        <w:t>（一）一般公共预算当年拨款规模变化情况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广元市中心血站2024年一般公共预算当年拨款2420.01万元，比2023年预算数2331.37万元增加88.64万元，主要原因是</w:t>
      </w:r>
      <w:r>
        <w:rPr>
          <w:rFonts w:hint="eastAsia" w:ascii="仿宋_GB2312" w:hAnsi="仿宋_GB2312" w:eastAsia="仿宋_GB2312" w:cs="仿宋_GB2312"/>
          <w:sz w:val="32"/>
          <w:szCs w:val="32"/>
          <w:highlight w:val="none"/>
          <w:lang w:val="en-US" w:eastAsia="zh-CN"/>
        </w:rPr>
        <w:t>采供血成本增长，财政调整统筹比例增加项目支出预算。</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12" w:name="_Toc10366"/>
      <w:r>
        <w:rPr>
          <w:rFonts w:hint="eastAsia" w:ascii="楷体_GB2312" w:hAnsi="楷体_GB2312" w:eastAsia="楷体_GB2312" w:cs="楷体_GB2312"/>
          <w:sz w:val="32"/>
          <w:szCs w:val="32"/>
          <w:lang w:val="en-US" w:eastAsia="zh-CN"/>
        </w:rPr>
        <w:t>（二）一般公共预算当年拨款结构情况</w:t>
      </w:r>
      <w:bookmarkEnd w:id="12"/>
    </w:p>
    <w:p>
      <w:pPr>
        <w:shd w:val="clear"/>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广元市中心血站2024年一般公共预算当年拨款2420.01万元，其中：社会保障和就业支出59.33万元，占2.45%；卫生健康支出2316.09万元，占95.71%；住房保障支出44.59万元，占1.84%。</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13" w:name="_Toc11672"/>
      <w:r>
        <w:rPr>
          <w:rFonts w:hint="eastAsia" w:ascii="楷体_GB2312" w:hAnsi="楷体_GB2312" w:eastAsia="楷体_GB2312" w:cs="楷体_GB2312"/>
          <w:sz w:val="32"/>
          <w:szCs w:val="32"/>
          <w:lang w:val="en-US" w:eastAsia="zh-CN"/>
        </w:rPr>
        <w:t>（三）一般公共预算当年拨款具体使用情况</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1.社会保障和就业（类）行政事业单位养老支出（款）机关事业单位基本养老保险缴费支出（项）2024年预算数为59.33万元，主要用于：实施养老保险制度由单位缴纳的基本养老保险支出。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2.卫生健康（类）行政事业单位医疗（款）事业单位医疗（项）2024年预算数为27.81万元，主要用于：事业单位按规定由单位缴纳的基本医疗保险支出。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3.住房保障（类）住房改革支出（款）住房公积金（项）2024年预算数为44.59万元，主要用于：部门按规定为职工缴纳的住房公积金支出。</w:t>
      </w:r>
    </w:p>
    <w:p>
      <w:pPr>
        <w:pStyle w:val="2"/>
        <w:shd w:val="clear"/>
        <w:ind w:left="0" w:leftChars="0" w:firstLine="0" w:firstLineChars="0"/>
        <w:rPr>
          <w:rFonts w:hint="eastAsia"/>
        </w:rPr>
      </w:pPr>
      <w:r>
        <w:rPr>
          <w:rFonts w:hint="eastAsia" w:ascii="仿宋_GB2312" w:eastAsia="仿宋_GB2312" w:hAnsiTheme="minorHAnsi" w:cstheme="minorBidi"/>
          <w:kern w:val="2"/>
          <w:sz w:val="32"/>
          <w:szCs w:val="32"/>
          <w:lang w:val="en-US" w:eastAsia="zh-CN" w:bidi="ar-SA"/>
        </w:rPr>
        <w:t xml:space="preserve">    </w:t>
      </w:r>
      <w:r>
        <w:rPr>
          <w:rFonts w:hint="eastAsia" w:ascii="仿宋_GB2312" w:hAnsi="仿宋_GB2312" w:eastAsia="仿宋_GB2312" w:cs="仿宋_GB2312"/>
          <w:sz w:val="32"/>
          <w:szCs w:val="32"/>
          <w:lang w:val="en-US" w:eastAsia="zh-CN"/>
        </w:rPr>
        <w:t>4.</w:t>
      </w:r>
      <w:r>
        <w:rPr>
          <w:rFonts w:hint="default" w:ascii="仿宋_GB2312" w:eastAsia="仿宋_GB2312" w:hAnsiTheme="minorHAnsi" w:cstheme="minorBidi"/>
          <w:kern w:val="2"/>
          <w:sz w:val="32"/>
          <w:szCs w:val="32"/>
          <w:lang w:val="en-US" w:eastAsia="zh-CN" w:bidi="ar-SA"/>
        </w:rPr>
        <w:t>卫生健康支出（类）公共卫生（款）采供血机构（项）</w:t>
      </w:r>
      <w:r>
        <w:rPr>
          <w:rFonts w:hint="eastAsia" w:ascii="仿宋_GB2312" w:eastAsia="仿宋_GB2312" w:cstheme="minorBidi"/>
          <w:kern w:val="2"/>
          <w:sz w:val="32"/>
          <w:szCs w:val="32"/>
          <w:lang w:val="en-US" w:eastAsia="zh-CN" w:bidi="ar-SA"/>
        </w:rPr>
        <w:t>2024年预算数为2288.28万元，主要用于</w:t>
      </w:r>
      <w:r>
        <w:rPr>
          <w:rFonts w:hint="default" w:ascii="仿宋_GB2312" w:eastAsia="仿宋_GB2312" w:hAnsiTheme="minorHAnsi" w:cstheme="minorBidi"/>
          <w:kern w:val="2"/>
          <w:sz w:val="32"/>
          <w:szCs w:val="32"/>
          <w:lang w:val="en-US" w:eastAsia="zh-CN" w:bidi="ar-SA"/>
        </w:rPr>
        <w:t>采供血</w:t>
      </w:r>
      <w:r>
        <w:rPr>
          <w:rFonts w:hint="eastAsia" w:ascii="仿宋_GB2312" w:eastAsia="仿宋_GB2312" w:cstheme="minorBidi"/>
          <w:kern w:val="2"/>
          <w:sz w:val="32"/>
          <w:szCs w:val="32"/>
          <w:lang w:val="en-US" w:eastAsia="zh-CN" w:bidi="ar-SA"/>
        </w:rPr>
        <w:t>机构</w:t>
      </w:r>
      <w:r>
        <w:rPr>
          <w:rFonts w:hint="default" w:ascii="仿宋_GB2312" w:eastAsia="仿宋_GB2312" w:hAnsiTheme="minorHAnsi" w:cstheme="minorBidi"/>
          <w:kern w:val="2"/>
          <w:sz w:val="32"/>
          <w:szCs w:val="32"/>
          <w:lang w:val="en-US" w:eastAsia="zh-CN" w:bidi="ar-SA"/>
        </w:rPr>
        <w:t>的支出。</w:t>
      </w:r>
    </w:p>
    <w:p>
      <w:pPr>
        <w:shd w:val="clear"/>
        <w:outlineLvl w:val="0"/>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bookmarkStart w:id="14" w:name="_Toc27452"/>
      <w:r>
        <w:rPr>
          <w:rFonts w:hint="eastAsia" w:ascii="黑体" w:hAnsi="黑体" w:eastAsia="黑体" w:cs="黑体"/>
          <w:sz w:val="32"/>
          <w:szCs w:val="32"/>
          <w:lang w:val="en-US" w:eastAsia="zh-CN"/>
        </w:rPr>
        <w:t>六、一般公共预算基本支出情况说明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广元市中心血站2024年一般公共预算基本支出616.37万元，其中：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人员经费538.88万元，主要包括：基本工资、 津贴补贴、  绩效工资、 机关事业单位基本养老保险缴费、  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77.49万元，主要包括：办公费、印刷费、咨询费、水费、电费、邮电费、物业管理费、差旅费、维修（护）费、租赁费、会议费、培训费、公务接待费、工会经费、福利费、公务用车运行维护费、其他商品和服务支出等支出。</w:t>
      </w:r>
    </w:p>
    <w:p>
      <w:pPr>
        <w:shd w:val="clear"/>
        <w:outlineLvl w:val="0"/>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bookmarkStart w:id="15" w:name="_Toc19692"/>
      <w:r>
        <w:rPr>
          <w:rFonts w:hint="eastAsia" w:ascii="黑体" w:hAnsi="黑体" w:eastAsia="黑体" w:cs="黑体"/>
          <w:sz w:val="32"/>
          <w:szCs w:val="32"/>
          <w:lang w:val="en-US" w:eastAsia="zh-CN"/>
        </w:rPr>
        <w:t>七、“三公”经费财政拨款预算安排情况说明</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广元市中心血站2024年“三公”经费财政拨款预算数7.85万元，其中：公务接待费3.40万元，公务用车购置及运行维护费4.45万元，因公出国（境）经费0万元。</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16" w:name="_Toc5050"/>
      <w:r>
        <w:rPr>
          <w:rFonts w:hint="eastAsia" w:ascii="楷体_GB2312" w:hAnsi="楷体_GB2312" w:eastAsia="楷体_GB2312" w:cs="楷体_GB2312"/>
          <w:sz w:val="32"/>
          <w:szCs w:val="32"/>
          <w:lang w:val="en-US" w:eastAsia="zh-CN"/>
        </w:rPr>
        <w:t>（一）公务接待费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17" w:name="_Toc2211"/>
      <w:r>
        <w:rPr>
          <w:rFonts w:hint="eastAsia" w:ascii="楷体_GB2312" w:hAnsi="楷体_GB2312" w:eastAsia="楷体_GB2312" w:cs="楷体_GB2312"/>
          <w:sz w:val="32"/>
          <w:szCs w:val="32"/>
          <w:lang w:val="en-US" w:eastAsia="zh-CN"/>
        </w:rPr>
        <w:t>（二）公务用车购置及运行维护费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2024年公务用车购置及运行维护费与2023年预算相比持平。单位现有公务用车1辆，其中：轿车1辆。业务用车8辆，均为采血业务用车</w:t>
      </w:r>
      <w:bookmarkStart w:id="30" w:name="_GoBack"/>
      <w:bookmarkEnd w:id="30"/>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2024年安排公务用车运行维护费4.45万元，用于1辆公务用车燃油、过路（桥）、维修、保险等方面支出，主要保障</w:t>
      </w:r>
      <w:r>
        <w:rPr>
          <w:rFonts w:hint="eastAsia" w:ascii="仿宋_GB2312" w:hAnsi="仿宋_GB2312" w:eastAsia="仿宋_GB2312" w:cs="仿宋_GB2312"/>
          <w:sz w:val="32"/>
          <w:szCs w:val="32"/>
          <w:highlight w:val="none"/>
          <w:lang w:val="en-US" w:eastAsia="zh-CN"/>
        </w:rPr>
        <w:t>单位公务</w:t>
      </w:r>
      <w:r>
        <w:rPr>
          <w:rFonts w:hint="default" w:ascii="仿宋_GB2312" w:hAnsi="仿宋_GB2312" w:eastAsia="仿宋_GB2312" w:cs="仿宋_GB2312"/>
          <w:sz w:val="32"/>
          <w:szCs w:val="32"/>
          <w:highlight w:val="none"/>
          <w:lang w:val="en-US" w:eastAsia="zh-CN"/>
        </w:rPr>
        <w:t>活动顺畅进行</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Style w:val="25"/>
          <w:rFonts w:hint="default"/>
          <w:lang w:val="en-US" w:eastAsia="zh-CN"/>
        </w:rPr>
      </w:pPr>
      <w:r>
        <w:rPr>
          <w:rFonts w:hint="eastAsia" w:ascii="仿宋_GB2312" w:hAnsi="仿宋_GB2312" w:eastAsia="仿宋_GB2312" w:cs="仿宋_GB2312"/>
          <w:sz w:val="32"/>
          <w:szCs w:val="32"/>
          <w:lang w:val="en-US" w:eastAsia="zh-CN"/>
        </w:rPr>
        <w:t xml:space="preserve">    </w:t>
      </w:r>
      <w:bookmarkStart w:id="18" w:name="_Toc26393"/>
      <w:bookmarkStart w:id="19" w:name="_Toc2812"/>
      <w:r>
        <w:rPr>
          <w:rStyle w:val="25"/>
          <w:rFonts w:hint="eastAsia"/>
          <w:lang w:val="en-US" w:eastAsia="zh-CN"/>
        </w:rPr>
        <w:t>（三）因公出国（境）经费</w:t>
      </w:r>
      <w:bookmarkEnd w:id="18"/>
    </w:p>
    <w:bookmarkEnd w:id="19"/>
    <w:p>
      <w:pPr>
        <w:pStyle w:val="29"/>
        <w:shd w:val="clear"/>
        <w:ind w:firstLine="640" w:firstLineChars="200"/>
        <w:rPr>
          <w:rFonts w:hint="eastAsia" w:ascii="宋体" w:hAnsi="宋体" w:eastAsia="宋体" w:cs="宋体"/>
          <w:sz w:val="21"/>
          <w:szCs w:val="21"/>
          <w:highlight w:val="none"/>
          <w:lang w:val="en-US" w:eastAsia="zh-CN"/>
        </w:rPr>
      </w:pPr>
      <w:r>
        <w:rPr>
          <w:rFonts w:hint="eastAsia" w:ascii="仿宋_GB2312" w:eastAsia="仿宋_GB2312"/>
          <w:sz w:val="32"/>
          <w:szCs w:val="32"/>
          <w:highlight w:val="none"/>
          <w:lang w:eastAsia="zh-CN"/>
        </w:rPr>
        <w:t>因公出国（境）经费</w:t>
      </w:r>
      <w:r>
        <w:rPr>
          <w:rFonts w:hint="eastAsia" w:ascii="仿宋_GB2312" w:eastAsia="仿宋_GB2312"/>
          <w:sz w:val="32"/>
          <w:szCs w:val="32"/>
          <w:highlight w:val="none"/>
          <w:lang w:val="en-US" w:eastAsia="zh-CN"/>
        </w:rPr>
        <w:t>2024年</w:t>
      </w:r>
      <w:r>
        <w:rPr>
          <w:rFonts w:hint="eastAsia" w:ascii="仿宋_GB2312" w:eastAsia="仿宋_GB2312"/>
          <w:sz w:val="32"/>
          <w:szCs w:val="32"/>
          <w:highlight w:val="none"/>
          <w:lang w:eastAsia="zh-CN"/>
        </w:rPr>
        <w:t>无预算安排，与</w:t>
      </w:r>
      <w:r>
        <w:rPr>
          <w:rFonts w:hint="eastAsia" w:ascii="仿宋_GB2312" w:eastAsia="仿宋_GB2312"/>
          <w:sz w:val="32"/>
          <w:szCs w:val="32"/>
          <w:highlight w:val="none"/>
          <w:lang w:val="en-US" w:eastAsia="zh-CN"/>
        </w:rPr>
        <w:t>2023年持平。</w:t>
      </w:r>
    </w:p>
    <w:p>
      <w:pPr>
        <w:shd w:val="clear"/>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bookmarkStart w:id="20" w:name="_Toc2193"/>
      <w:r>
        <w:rPr>
          <w:rFonts w:hint="eastAsia" w:ascii="黑体" w:hAnsi="黑体" w:eastAsia="黑体" w:cs="黑体"/>
          <w:sz w:val="32"/>
          <w:szCs w:val="32"/>
          <w:lang w:val="en-US" w:eastAsia="zh-CN"/>
        </w:rPr>
        <w:t>八、政府性基金预算支出情况说明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广元市中心血站2024年无政府性基金预算拨款安排的支出。</w:t>
      </w:r>
    </w:p>
    <w:p>
      <w:pPr>
        <w:shd w:val="clear"/>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w:t>
      </w:r>
      <w:bookmarkStart w:id="21" w:name="_Toc20559"/>
      <w:r>
        <w:rPr>
          <w:rFonts w:hint="eastAsia" w:ascii="黑体" w:hAnsi="黑体" w:eastAsia="黑体" w:cs="黑体"/>
          <w:sz w:val="32"/>
          <w:szCs w:val="32"/>
          <w:lang w:val="en-US" w:eastAsia="zh-CN"/>
        </w:rPr>
        <w:t>九、国有资本经营预算支出情况说明</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广元市中心血站2024年无国有资本经营预算拨款安排的支出。</w:t>
      </w:r>
    </w:p>
    <w:p>
      <w:pPr>
        <w:shd w:val="clear"/>
        <w:outlineLvl w:val="0"/>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bookmarkStart w:id="22" w:name="_Toc3223"/>
      <w:r>
        <w:rPr>
          <w:rFonts w:hint="eastAsia" w:ascii="黑体" w:hAnsi="黑体" w:eastAsia="黑体" w:cs="黑体"/>
          <w:sz w:val="32"/>
          <w:szCs w:val="32"/>
          <w:lang w:val="en-US" w:eastAsia="zh-CN"/>
        </w:rPr>
        <w:t>十、其他重要事项的情况说明</w:t>
      </w:r>
      <w:bookmarkEnd w:id="22"/>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23" w:name="_Toc5486"/>
      <w:r>
        <w:rPr>
          <w:rFonts w:hint="eastAsia" w:ascii="楷体_GB2312" w:hAnsi="楷体_GB2312" w:eastAsia="楷体_GB2312" w:cs="楷体_GB2312"/>
          <w:sz w:val="32"/>
          <w:szCs w:val="32"/>
          <w:lang w:val="en-US" w:eastAsia="zh-CN"/>
        </w:rPr>
        <w:t>（一）机关运行经费</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广元市中心血站为事业单位，按规定未使用机关运行的相关科目。</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24" w:name="_Toc6475"/>
      <w:r>
        <w:rPr>
          <w:rFonts w:hint="eastAsia" w:ascii="楷体_GB2312" w:hAnsi="楷体_GB2312" w:eastAsia="楷体_GB2312" w:cs="楷体_GB2312"/>
          <w:sz w:val="32"/>
          <w:szCs w:val="32"/>
          <w:lang w:val="en-US" w:eastAsia="zh-CN"/>
        </w:rPr>
        <w:t>（二）政府采购情况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2024年，广元市中心血站安排政府采购预算</w:t>
      </w:r>
      <w:r>
        <w:rPr>
          <w:rFonts w:hint="eastAsia" w:ascii="仿宋_GB2312" w:hAnsi="仿宋_GB2312" w:eastAsia="仿宋_GB2312" w:cs="仿宋_GB2312"/>
          <w:color w:val="auto"/>
          <w:sz w:val="32"/>
          <w:szCs w:val="32"/>
          <w:lang w:val="en-US" w:eastAsia="zh-CN"/>
        </w:rPr>
        <w:t>309.37万元</w:t>
      </w:r>
      <w:r>
        <w:rPr>
          <w:rFonts w:hint="eastAsia" w:ascii="仿宋_GB2312" w:hAnsi="仿宋_GB2312" w:eastAsia="仿宋_GB2312" w:cs="仿宋_GB2312"/>
          <w:sz w:val="32"/>
          <w:szCs w:val="32"/>
          <w:lang w:val="en-US" w:eastAsia="zh-CN"/>
        </w:rPr>
        <w:t>，其中：政府采购货物预算309.37万元。</w:t>
      </w:r>
    </w:p>
    <w:p>
      <w:pPr>
        <w:shd w:val="clear"/>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   </w:t>
      </w:r>
      <w:bookmarkStart w:id="25" w:name="_Toc27706"/>
      <w:r>
        <w:rPr>
          <w:rFonts w:hint="eastAsia" w:ascii="楷体_GB2312" w:hAnsi="楷体_GB2312" w:eastAsia="楷体_GB2312" w:cs="楷体_GB2312"/>
          <w:sz w:val="32"/>
          <w:szCs w:val="32"/>
          <w:lang w:val="en-US" w:eastAsia="zh-CN"/>
        </w:rPr>
        <w:t>（三）国有资产占有使用情况</w:t>
      </w:r>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截至2023年底，广元市中心血站共有车辆9辆，其中：定向保障用车8辆（4辆采血车、4辆接送血车）、其他用车（公务用车）1辆。单位价值200万元以上大型设备1台。</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shd w:val="clear"/>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w:t>
      </w:r>
      <w:bookmarkStart w:id="26" w:name="_Toc27333"/>
      <w:r>
        <w:rPr>
          <w:rFonts w:hint="eastAsia" w:ascii="楷体_GB2312" w:hAnsi="楷体_GB2312" w:eastAsia="楷体_GB2312" w:cs="楷体_GB2312"/>
          <w:sz w:val="32"/>
          <w:szCs w:val="32"/>
          <w:lang w:val="en-US" w:eastAsia="zh-CN"/>
        </w:rPr>
        <w:t>（四）绩效目标设置情况</w:t>
      </w:r>
      <w:bookmarkEnd w:id="2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2024年广元市中心血站开展绩效目标管理的项目8个，涉及预算2420.01万元。其中：人员类项目3个，涉及预算 538.88万元；运转类项目3个，涉及预算77.49万元；特定目标类项目2个，涉及预算1803.64万元。</w:t>
      </w:r>
    </w:p>
    <w:p>
      <w:pPr>
        <w:shd w:val="clear"/>
        <w:outlineLvl w:val="0"/>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bookmarkStart w:id="27" w:name="_Toc4172"/>
      <w:r>
        <w:rPr>
          <w:rFonts w:hint="eastAsia" w:ascii="黑体" w:hAnsi="黑体" w:eastAsia="黑体" w:cs="黑体"/>
          <w:sz w:val="32"/>
          <w:szCs w:val="32"/>
          <w:lang w:val="en-US" w:eastAsia="zh-CN"/>
        </w:rPr>
        <w:t>十一、名词解释</w:t>
      </w:r>
      <w:bookmarkEnd w:id="27"/>
    </w:p>
    <w:p>
      <w:pPr>
        <w:pStyle w:val="21"/>
        <w:keepNext w:val="0"/>
        <w:keepLines w:val="0"/>
        <w:widowControl/>
        <w:suppressLineNumbers w:val="0"/>
        <w:shd w:val="clear"/>
        <w:spacing w:before="75" w:beforeAutospacing="0" w:after="75" w:afterAutospacing="0"/>
        <w:ind w:left="0" w:right="0" w:firstLine="640"/>
        <w:outlineLvl w:val="1"/>
        <w:rPr>
          <w:rFonts w:hint="eastAsia" w:ascii="仿宋_GB2312" w:eastAsia="仿宋_GB2312" w:hAnsiTheme="minorHAnsi" w:cstheme="minorBidi"/>
          <w:kern w:val="2"/>
          <w:sz w:val="32"/>
          <w:szCs w:val="32"/>
          <w:lang w:val="en-US" w:eastAsia="zh-CN" w:bidi="ar-SA"/>
        </w:rPr>
      </w:pPr>
      <w:bookmarkStart w:id="28" w:name="_Toc26288"/>
      <w:r>
        <w:rPr>
          <w:rFonts w:hint="eastAsia" w:ascii="仿宋_GB2312" w:eastAsia="仿宋_GB2312" w:hAnsiTheme="minorHAnsi" w:cstheme="minorBidi"/>
          <w:kern w:val="2"/>
          <w:sz w:val="32"/>
          <w:szCs w:val="32"/>
          <w:lang w:val="en-US" w:eastAsia="zh-CN" w:bidi="ar-SA"/>
        </w:rPr>
        <w:t>（一）</w:t>
      </w:r>
      <w:r>
        <w:rPr>
          <w:rFonts w:hint="default" w:ascii="仿宋_GB2312" w:eastAsia="仿宋_GB2312" w:hAnsiTheme="minorHAnsi" w:cstheme="minorBidi"/>
          <w:kern w:val="2"/>
          <w:sz w:val="32"/>
          <w:szCs w:val="32"/>
          <w:lang w:val="en-US" w:eastAsia="zh-CN" w:bidi="ar-SA"/>
        </w:rPr>
        <w:t>财政拨款收入：指单位从同级财政部门取得的财政预算资金。</w:t>
      </w:r>
      <w:bookmarkEnd w:id="28"/>
    </w:p>
    <w:p>
      <w:pPr>
        <w:pStyle w:val="2"/>
        <w:shd w:val="clear"/>
        <w:ind w:left="0" w:leftChars="0" w:firstLine="0" w:firstLineChars="0"/>
        <w:rPr>
          <w:rFonts w:hint="default"/>
          <w:lang w:val="en-US" w:eastAsia="zh-CN"/>
        </w:rPr>
      </w:pPr>
      <w:r>
        <w:rPr>
          <w:rFonts w:hint="eastAsia" w:ascii="仿宋_GB2312" w:eastAsia="仿宋_GB2312" w:hAnsiTheme="minorHAnsi" w:cstheme="minorBidi"/>
          <w:kern w:val="2"/>
          <w:sz w:val="32"/>
          <w:szCs w:val="32"/>
          <w:lang w:val="en-US" w:eastAsia="zh-CN" w:bidi="ar-SA"/>
        </w:rPr>
        <w:t xml:space="preserve">    （二）</w:t>
      </w:r>
      <w:r>
        <w:rPr>
          <w:rFonts w:hint="default" w:ascii="仿宋_GB2312" w:eastAsia="仿宋_GB2312" w:hAnsiTheme="minorHAnsi" w:cstheme="minorBidi"/>
          <w:kern w:val="2"/>
          <w:sz w:val="32"/>
          <w:szCs w:val="32"/>
          <w:lang w:val="en-US" w:eastAsia="zh-CN" w:bidi="ar-SA"/>
        </w:rPr>
        <w:t>卫生健康支出（类）公共卫生（款）采供血机构（项）2100406：指反映卫生健康部门</w:t>
      </w:r>
      <w:r>
        <w:rPr>
          <w:rFonts w:hint="eastAsia" w:ascii="仿宋_GB2312" w:eastAsia="仿宋_GB2312" w:hAnsiTheme="minorHAnsi" w:cstheme="minorBidi"/>
          <w:kern w:val="2"/>
          <w:sz w:val="32"/>
          <w:szCs w:val="32"/>
          <w:lang w:val="en-US" w:eastAsia="zh-CN" w:bidi="ar-SA"/>
        </w:rPr>
        <w:t>所属</w:t>
      </w:r>
      <w:r>
        <w:rPr>
          <w:rFonts w:hint="default" w:ascii="仿宋_GB2312" w:eastAsia="仿宋_GB2312" w:hAnsiTheme="minorHAnsi" w:cstheme="minorBidi"/>
          <w:kern w:val="2"/>
          <w:sz w:val="32"/>
          <w:szCs w:val="32"/>
          <w:lang w:val="en-US" w:eastAsia="zh-CN" w:bidi="ar-SA"/>
        </w:rPr>
        <w:t>采供血机构的支出。</w:t>
      </w:r>
    </w:p>
    <w:p>
      <w:pPr>
        <w:shd w:val="clear"/>
        <w:ind w:firstLine="640" w:firstLineChars="20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（三）</w:t>
      </w:r>
      <w:r>
        <w:rPr>
          <w:rFonts w:hint="default" w:ascii="仿宋_GB2312" w:eastAsia="仿宋_GB2312" w:hAnsiTheme="minorHAnsi" w:cstheme="minorBidi"/>
          <w:kern w:val="2"/>
          <w:sz w:val="32"/>
          <w:szCs w:val="32"/>
          <w:lang w:val="en-US" w:eastAsia="zh-CN" w:bidi="ar-SA"/>
        </w:rPr>
        <w:t>社会保障和就业（类）行政事业单位养老支出（款）机关事业单位基本养老保险缴费支出（项）</w:t>
      </w:r>
      <w:r>
        <w:rPr>
          <w:rFonts w:hint="eastAsia" w:ascii="仿宋_GB2312" w:eastAsia="仿宋_GB2312" w:cstheme="minorBidi"/>
          <w:kern w:val="2"/>
          <w:sz w:val="32"/>
          <w:szCs w:val="32"/>
          <w:lang w:val="en-US" w:eastAsia="zh-CN" w:bidi="ar-SA"/>
        </w:rPr>
        <w:t>2080505</w:t>
      </w:r>
      <w:r>
        <w:rPr>
          <w:rFonts w:hint="default" w:ascii="仿宋_GB2312" w:eastAsia="仿宋_GB2312" w:hAnsiTheme="minorHAnsi" w:cstheme="minorBidi"/>
          <w:kern w:val="2"/>
          <w:sz w:val="32"/>
          <w:szCs w:val="32"/>
          <w:lang w:val="en-US" w:eastAsia="zh-CN" w:bidi="ar-SA"/>
        </w:rPr>
        <w:t>：指反映机关事业单位实施养老保险制度由单位缴纳的基本养老保险费支出。</w:t>
      </w:r>
    </w:p>
    <w:p>
      <w:pPr>
        <w:shd w:val="clear"/>
        <w:ind w:firstLine="640" w:firstLineChars="20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（四）</w:t>
      </w:r>
      <w:r>
        <w:rPr>
          <w:rFonts w:hint="default" w:ascii="仿宋_GB2312" w:eastAsia="仿宋_GB2312" w:hAnsiTheme="minorHAnsi" w:cstheme="minorBidi"/>
          <w:kern w:val="2"/>
          <w:sz w:val="32"/>
          <w:szCs w:val="32"/>
          <w:lang w:val="en-US" w:eastAsia="zh-CN" w:bidi="ar-SA"/>
        </w:rPr>
        <w:t>卫生健康（类）行政事业单位医疗（款）事业单位医疗（项）</w:t>
      </w:r>
      <w:r>
        <w:rPr>
          <w:rFonts w:hint="eastAsia" w:ascii="仿宋_GB2312" w:eastAsia="仿宋_GB2312" w:cstheme="minorBidi"/>
          <w:kern w:val="2"/>
          <w:sz w:val="32"/>
          <w:szCs w:val="32"/>
          <w:lang w:val="en-US" w:eastAsia="zh-CN" w:bidi="ar-SA"/>
        </w:rPr>
        <w:t>2101102</w:t>
      </w:r>
      <w:r>
        <w:rPr>
          <w:rFonts w:hint="default" w:ascii="仿宋_GB2312" w:eastAsia="仿宋_GB2312" w:hAnsiTheme="minorHAnsi" w:cstheme="minorBidi"/>
          <w:kern w:val="2"/>
          <w:sz w:val="32"/>
          <w:szCs w:val="32"/>
          <w:lang w:val="en-US" w:eastAsia="zh-CN" w:bidi="ar-SA"/>
        </w:rPr>
        <w:t>：指反映财政部门安排的事业单位基本医疗保险缴费经费，未参加医疗保险的事业单位的公费医疗经费，按国家规定享受离休人员待遇的医疗经费。</w:t>
      </w:r>
    </w:p>
    <w:p>
      <w:pPr>
        <w:shd w:val="clear"/>
        <w:ind w:firstLine="640" w:firstLineChars="20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（五）</w:t>
      </w:r>
      <w:r>
        <w:rPr>
          <w:rFonts w:hint="default" w:ascii="仿宋_GB2312" w:eastAsia="仿宋_GB2312" w:hAnsiTheme="minorHAnsi" w:cstheme="minorBidi"/>
          <w:kern w:val="2"/>
          <w:sz w:val="32"/>
          <w:szCs w:val="32"/>
          <w:lang w:val="en-US" w:eastAsia="zh-CN" w:bidi="ar-SA"/>
        </w:rPr>
        <w:t>住房保障（类）住房改革支出（款）住房公积金（项）</w:t>
      </w:r>
      <w:r>
        <w:rPr>
          <w:rFonts w:hint="eastAsia" w:ascii="仿宋_GB2312" w:eastAsia="仿宋_GB2312" w:cstheme="minorBidi"/>
          <w:kern w:val="2"/>
          <w:sz w:val="32"/>
          <w:szCs w:val="32"/>
          <w:lang w:val="en-US" w:eastAsia="zh-CN" w:bidi="ar-SA"/>
        </w:rPr>
        <w:t>2210201</w:t>
      </w:r>
      <w:r>
        <w:rPr>
          <w:rFonts w:hint="default" w:ascii="仿宋_GB2312" w:eastAsia="仿宋_GB2312" w:hAnsiTheme="minorHAnsi" w:cstheme="minorBidi"/>
          <w:kern w:val="2"/>
          <w:sz w:val="32"/>
          <w:szCs w:val="32"/>
          <w:lang w:val="en-US" w:eastAsia="zh-CN" w:bidi="ar-SA"/>
        </w:rPr>
        <w:t>：指反映行政事业单位按人力资源和社会保障部、财政部规定的基本工资和津贴补贴以及规定比例为职工缴纳的住房公积金。</w:t>
      </w:r>
    </w:p>
    <w:p>
      <w:pPr>
        <w:shd w:val="clear"/>
        <w:ind w:firstLine="640" w:firstLineChars="20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（六）</w:t>
      </w:r>
      <w:r>
        <w:rPr>
          <w:rFonts w:hint="default" w:ascii="仿宋_GB2312" w:eastAsia="仿宋_GB2312" w:hAnsiTheme="minorHAnsi" w:cstheme="minorBidi"/>
          <w:kern w:val="2"/>
          <w:sz w:val="32"/>
          <w:szCs w:val="32"/>
          <w:lang w:val="en-US" w:eastAsia="zh-CN" w:bidi="ar-SA"/>
        </w:rPr>
        <w:t>基本支出：指为保证机构正常运转，完成日常工作任务而发生的人员支出和公用支出。</w:t>
      </w:r>
    </w:p>
    <w:p>
      <w:pPr>
        <w:shd w:val="clear"/>
        <w:ind w:firstLine="640" w:firstLineChars="200"/>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（七）</w:t>
      </w:r>
      <w:r>
        <w:rPr>
          <w:rFonts w:hint="default" w:ascii="仿宋_GB2312" w:eastAsia="仿宋_GB2312" w:hAnsiTheme="minorHAnsi" w:cstheme="minorBidi"/>
          <w:kern w:val="2"/>
          <w:sz w:val="32"/>
          <w:szCs w:val="32"/>
          <w:lang w:val="en-US" w:eastAsia="zh-CN" w:bidi="ar-SA"/>
        </w:rPr>
        <w:t>项目支出：指在基本支出之外为完成特定行政任务和事业发展目标所发生的支出。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（八）</w:t>
      </w:r>
      <w:r>
        <w:rPr>
          <w:rFonts w:hint="default" w:ascii="仿宋_GB2312" w:eastAsia="仿宋_GB2312" w:hAnsiTheme="minorHAnsi" w:cstheme="minorBidi"/>
          <w:kern w:val="2"/>
          <w:sz w:val="32"/>
          <w:szCs w:val="32"/>
          <w:lang w:val="en-US" w:eastAsia="zh-CN" w:bidi="ar-SA"/>
        </w:rPr>
        <w:t>“三公”经费：纳入</w:t>
      </w:r>
      <w:r>
        <w:rPr>
          <w:rFonts w:hint="eastAsia" w:ascii="仿宋_GB2312" w:eastAsia="仿宋_GB2312" w:cstheme="minorBidi"/>
          <w:kern w:val="2"/>
          <w:sz w:val="32"/>
          <w:szCs w:val="32"/>
          <w:lang w:val="en-US" w:eastAsia="zh-CN" w:bidi="ar-SA"/>
        </w:rPr>
        <w:t>单位</w:t>
      </w:r>
      <w:r>
        <w:rPr>
          <w:rFonts w:hint="default" w:ascii="仿宋_GB2312" w:eastAsia="仿宋_GB2312" w:hAnsiTheme="minorHAnsi" w:cstheme="minorBidi"/>
          <w:kern w:val="2"/>
          <w:sz w:val="32"/>
          <w:szCs w:val="32"/>
          <w:lang w:val="en-US" w:eastAsia="zh-CN" w:bidi="ar-SA"/>
        </w:rPr>
        <w:t>预算管理的“三公”经费，是指</w:t>
      </w:r>
      <w:r>
        <w:rPr>
          <w:rFonts w:hint="eastAsia" w:ascii="仿宋_GB2312" w:eastAsia="仿宋_GB2312" w:cstheme="minorBidi"/>
          <w:kern w:val="2"/>
          <w:sz w:val="32"/>
          <w:szCs w:val="32"/>
          <w:lang w:val="en-US" w:eastAsia="zh-CN" w:bidi="ar-SA"/>
        </w:rPr>
        <w:t>单位</w:t>
      </w:r>
      <w:r>
        <w:rPr>
          <w:rFonts w:hint="default" w:ascii="仿宋_GB2312" w:eastAsia="仿宋_GB2312" w:hAnsiTheme="minorHAnsi" w:cstheme="minorBidi"/>
          <w:kern w:val="2"/>
          <w:sz w:val="32"/>
          <w:szCs w:val="32"/>
          <w:lang w:val="en-US" w:eastAsia="zh-CN" w:bidi="ar-SA"/>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29" w:name="_Toc1053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hAnsiTheme="minorHAnsi" w:cstheme="minorBidi"/>
          <w:b w:val="0"/>
          <w:color w:val="auto"/>
          <w:kern w:val="2"/>
          <w:sz w:val="32"/>
          <w:szCs w:val="32"/>
          <w:lang w:val="en-US" w:eastAsia="zh-CN" w:bidi="ar-SA"/>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hAnsiTheme="minorHAnsi" w:cstheme="minorBidi"/>
          <w:b w:val="0"/>
          <w:color w:val="auto"/>
          <w:kern w:val="2"/>
          <w:sz w:val="32"/>
          <w:szCs w:val="32"/>
          <w:lang w:val="en-US" w:eastAsia="zh-CN" w:bidi="ar-SA"/>
        </w:rPr>
      </w:pPr>
      <w:r>
        <w:rPr>
          <w:rFonts w:hint="eastAsia" w:ascii="仿宋_GB2312" w:eastAsia="仿宋_GB2312" w:hAnsiTheme="minorHAnsi" w:cstheme="minorBidi"/>
          <w:b w:val="0"/>
          <w:color w:val="auto"/>
          <w:kern w:val="2"/>
          <w:sz w:val="32"/>
          <w:szCs w:val="32"/>
          <w:lang w:val="en-US" w:eastAsia="zh-CN" w:bidi="ar-SA"/>
        </w:rPr>
        <w:t>附件：广元市中心血站预算公开报表（单位公开)</w:t>
      </w:r>
      <w:bookmarkEnd w:id="29"/>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5" w:type="default"/>
      <w:pgSz w:w="11906" w:h="16838"/>
      <w:pgMar w:top="2098" w:right="1474" w:bottom="1984" w:left="1587" w:header="720" w:footer="1559"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A214F8A-9BAC-4ADB-9C78-A6B40A995B87}"/>
  </w:font>
  <w:font w:name="黑体">
    <w:panose1 w:val="02010609060101010101"/>
    <w:charset w:val="86"/>
    <w:family w:val="auto"/>
    <w:pitch w:val="default"/>
    <w:sig w:usb0="800002BF" w:usb1="38CF7CFA" w:usb2="00000016" w:usb3="00000000" w:csb0="00040001" w:csb1="00000000"/>
    <w:embedRegular r:id="rId2" w:fontKey="{0D9B3B1E-DCE2-4336-A74D-9059F529DF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7E61D149-43E4-46A6-97C1-536895240CF4}"/>
  </w:font>
  <w:font w:name="楷体_GB2312">
    <w:panose1 w:val="02010609030101010101"/>
    <w:charset w:val="86"/>
    <w:family w:val="auto"/>
    <w:pitch w:val="default"/>
    <w:sig w:usb0="00000001" w:usb1="080E0000" w:usb2="00000000" w:usb3="00000000" w:csb0="00040000" w:csb1="00000000"/>
    <w:embedRegular r:id="rId4" w:fontKey="{23AACF00-3859-4CD6-BFD8-B5938E76989A}"/>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5" w:fontKey="{8FC5413A-07E0-4D1C-8A0F-9FAD0BFD7997}"/>
  </w:font>
  <w:font w:name="仿宋_GB2312">
    <w:panose1 w:val="02010609030101010101"/>
    <w:charset w:val="86"/>
    <w:family w:val="modern"/>
    <w:pitch w:val="default"/>
    <w:sig w:usb0="00000001" w:usb1="080E0000" w:usb2="00000000" w:usb3="00000000" w:csb0="00040000" w:csb1="00000000"/>
    <w:embedRegular r:id="rId6" w:fontKey="{5294E258-7C40-43B9-9E87-17C6CB2DF30B}"/>
  </w:font>
  <w:font w:name="仿宋">
    <w:panose1 w:val="02010609060101010101"/>
    <w:charset w:val="86"/>
    <w:family w:val="auto"/>
    <w:pitch w:val="default"/>
    <w:sig w:usb0="800002BF" w:usb1="38CF7CFA" w:usb2="00000016" w:usb3="00000000" w:csb0="00040001" w:csb1="00000000"/>
    <w:embedRegular r:id="rId7" w:fontKey="{254A4E00-50EA-4E40-9023-3242C9DC8544}"/>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3e62d566-9835-4b48-82e3-68517ffc5a59"/>
  </w:docVars>
  <w:rsids>
    <w:rsidRoot w:val="00000000"/>
    <w:rsid w:val="012352D1"/>
    <w:rsid w:val="03291EB0"/>
    <w:rsid w:val="044D0901"/>
    <w:rsid w:val="05A43749"/>
    <w:rsid w:val="07F9607F"/>
    <w:rsid w:val="0AD56D27"/>
    <w:rsid w:val="0F043A50"/>
    <w:rsid w:val="0F983A22"/>
    <w:rsid w:val="10B56B34"/>
    <w:rsid w:val="129D607E"/>
    <w:rsid w:val="12B134F8"/>
    <w:rsid w:val="17CC07EE"/>
    <w:rsid w:val="196E7DF3"/>
    <w:rsid w:val="199251B0"/>
    <w:rsid w:val="1C4F0418"/>
    <w:rsid w:val="1DE613D1"/>
    <w:rsid w:val="1E51465A"/>
    <w:rsid w:val="1F7BF06F"/>
    <w:rsid w:val="1FEE4B73"/>
    <w:rsid w:val="201C4E9B"/>
    <w:rsid w:val="215E42CC"/>
    <w:rsid w:val="231D7DF5"/>
    <w:rsid w:val="23CE9849"/>
    <w:rsid w:val="28182C26"/>
    <w:rsid w:val="285029D7"/>
    <w:rsid w:val="289E247C"/>
    <w:rsid w:val="28F413C2"/>
    <w:rsid w:val="2A5A0935"/>
    <w:rsid w:val="2AE31A5D"/>
    <w:rsid w:val="2DDB265F"/>
    <w:rsid w:val="2DE204E1"/>
    <w:rsid w:val="2FD56397"/>
    <w:rsid w:val="30404249"/>
    <w:rsid w:val="31AF19DB"/>
    <w:rsid w:val="352B6F6A"/>
    <w:rsid w:val="36054A1B"/>
    <w:rsid w:val="37937755"/>
    <w:rsid w:val="39BD36CD"/>
    <w:rsid w:val="39F304DD"/>
    <w:rsid w:val="3A9C3244"/>
    <w:rsid w:val="3B8331EE"/>
    <w:rsid w:val="3D5E4D39"/>
    <w:rsid w:val="3E42094F"/>
    <w:rsid w:val="3EBF2C10"/>
    <w:rsid w:val="3F103532"/>
    <w:rsid w:val="3FFE0E48"/>
    <w:rsid w:val="45B227B1"/>
    <w:rsid w:val="46BD767C"/>
    <w:rsid w:val="49210ED5"/>
    <w:rsid w:val="4D940C67"/>
    <w:rsid w:val="4E264B9C"/>
    <w:rsid w:val="4EA8225C"/>
    <w:rsid w:val="4FCB348A"/>
    <w:rsid w:val="50AF46E8"/>
    <w:rsid w:val="50CA16BC"/>
    <w:rsid w:val="5252247D"/>
    <w:rsid w:val="538716E3"/>
    <w:rsid w:val="54244390"/>
    <w:rsid w:val="54662A63"/>
    <w:rsid w:val="56EC6A24"/>
    <w:rsid w:val="58064E12"/>
    <w:rsid w:val="587D62D1"/>
    <w:rsid w:val="5915564C"/>
    <w:rsid w:val="59E12DD9"/>
    <w:rsid w:val="5BFEE015"/>
    <w:rsid w:val="5F1F5BE8"/>
    <w:rsid w:val="5F997F40"/>
    <w:rsid w:val="63EDCF55"/>
    <w:rsid w:val="63FBFBCF"/>
    <w:rsid w:val="64004BCC"/>
    <w:rsid w:val="66005C43"/>
    <w:rsid w:val="669360FD"/>
    <w:rsid w:val="66B43DFE"/>
    <w:rsid w:val="670E7E37"/>
    <w:rsid w:val="68FF6A83"/>
    <w:rsid w:val="69760FA1"/>
    <w:rsid w:val="6B0F2470"/>
    <w:rsid w:val="6C0052A0"/>
    <w:rsid w:val="6C4A7F1C"/>
    <w:rsid w:val="6C76596B"/>
    <w:rsid w:val="6F6B1540"/>
    <w:rsid w:val="6FBBC9CF"/>
    <w:rsid w:val="70F44668"/>
    <w:rsid w:val="72BDE561"/>
    <w:rsid w:val="740D4319"/>
    <w:rsid w:val="76307583"/>
    <w:rsid w:val="78462278"/>
    <w:rsid w:val="7997EA6C"/>
    <w:rsid w:val="79C4699B"/>
    <w:rsid w:val="7A8C7597"/>
    <w:rsid w:val="7AEAE675"/>
    <w:rsid w:val="7B00155C"/>
    <w:rsid w:val="7BAFCE5D"/>
    <w:rsid w:val="7D46598C"/>
    <w:rsid w:val="7DFB240B"/>
    <w:rsid w:val="7E0935ED"/>
    <w:rsid w:val="7ECE13F5"/>
    <w:rsid w:val="7EE00B84"/>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4">
    <w:name w:val="heading 1"/>
    <w:basedOn w:val="1"/>
    <w:next w:val="1"/>
    <w:link w:val="24"/>
    <w:qFormat/>
    <w:uiPriority w:val="0"/>
    <w:pPr>
      <w:keepNext/>
      <w:keepLines/>
      <w:spacing w:before="340" w:beforeLines="0" w:beforeAutospacing="0" w:after="330" w:afterLines="0" w:afterAutospacing="0" w:line="576" w:lineRule="auto"/>
      <w:ind w:leftChars="300"/>
      <w:outlineLvl w:val="0"/>
    </w:pPr>
    <w:rPr>
      <w:rFonts w:eastAsia="黑体"/>
      <w:kern w:val="44"/>
      <w:sz w:val="32"/>
    </w:rPr>
  </w:style>
  <w:style w:type="paragraph" w:styleId="5">
    <w:name w:val="heading 2"/>
    <w:basedOn w:val="1"/>
    <w:next w:val="1"/>
    <w:link w:val="25"/>
    <w:unhideWhenUsed/>
    <w:qFormat/>
    <w:uiPriority w:val="0"/>
    <w:pPr>
      <w:keepNext/>
      <w:keepLines/>
      <w:spacing w:before="260" w:beforeLines="0" w:beforeAutospacing="0" w:after="260" w:afterLines="0" w:afterAutospacing="0" w:line="413" w:lineRule="auto"/>
      <w:ind w:leftChars="200"/>
      <w:outlineLvl w:val="1"/>
    </w:pPr>
    <w:rPr>
      <w:rFonts w:ascii="Arial" w:hAnsi="Arial" w:eastAsia="楷体_GB2312"/>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23">
    <w:name w:val="Default Paragraph Font"/>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Times New Roman" w:hAnsi="Times New Roman"/>
      <w:sz w:val="30"/>
    </w:rPr>
  </w:style>
  <w:style w:type="paragraph" w:styleId="3">
    <w:name w:val="Body Text Indent"/>
    <w:basedOn w:val="1"/>
    <w:qFormat/>
    <w:uiPriority w:val="0"/>
    <w:pPr>
      <w:spacing w:after="120"/>
      <w:ind w:left="420" w:leftChars="200"/>
    </w:pPr>
  </w:style>
  <w:style w:type="paragraph" w:styleId="7">
    <w:name w:val="toc 7"/>
    <w:basedOn w:val="1"/>
    <w:next w:val="1"/>
    <w:qFormat/>
    <w:uiPriority w:val="0"/>
    <w:pPr>
      <w:ind w:left="2520" w:leftChars="1200"/>
    </w:pPr>
  </w:style>
  <w:style w:type="paragraph" w:styleId="8">
    <w:name w:val="caption"/>
    <w:basedOn w:val="1"/>
    <w:next w:val="1"/>
    <w:qFormat/>
    <w:uiPriority w:val="0"/>
    <w:pPr>
      <w:widowControl w:val="0"/>
      <w:suppressLineNumbers/>
      <w:suppressAutoHyphens/>
      <w:spacing w:before="120" w:after="120"/>
    </w:pPr>
    <w:rPr>
      <w:i/>
      <w:iCs/>
      <w:sz w:val="24"/>
      <w:szCs w:val="24"/>
    </w:rPr>
  </w:style>
  <w:style w:type="paragraph" w:styleId="9">
    <w:name w:val="Body Text"/>
    <w:basedOn w:val="1"/>
    <w:qFormat/>
    <w:uiPriority w:val="0"/>
    <w:pPr>
      <w:spacing w:before="0" w:after="140" w:line="276" w:lineRule="auto"/>
    </w:pPr>
  </w:style>
  <w:style w:type="paragraph" w:styleId="10">
    <w:name w:val="toc 5"/>
    <w:basedOn w:val="1"/>
    <w:next w:val="1"/>
    <w:qFormat/>
    <w:uiPriority w:val="0"/>
    <w:pPr>
      <w:ind w:left="1680" w:leftChars="800"/>
    </w:pPr>
  </w:style>
  <w:style w:type="paragraph" w:styleId="11">
    <w:name w:val="toc 3"/>
    <w:basedOn w:val="1"/>
    <w:next w:val="1"/>
    <w:qFormat/>
    <w:uiPriority w:val="0"/>
    <w:pPr>
      <w:ind w:left="840" w:leftChars="400"/>
    </w:pPr>
  </w:style>
  <w:style w:type="paragraph" w:styleId="12">
    <w:name w:val="toc 8"/>
    <w:basedOn w:val="1"/>
    <w:next w:val="1"/>
    <w:qFormat/>
    <w:uiPriority w:val="0"/>
    <w:pPr>
      <w:ind w:left="2940" w:leftChars="1400"/>
    </w:p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4"/>
    <w:basedOn w:val="1"/>
    <w:next w:val="1"/>
    <w:qFormat/>
    <w:uiPriority w:val="0"/>
    <w:pPr>
      <w:ind w:left="1260" w:leftChars="600"/>
    </w:pPr>
  </w:style>
  <w:style w:type="paragraph" w:styleId="17">
    <w:name w:val="List"/>
    <w:basedOn w:val="9"/>
    <w:qFormat/>
    <w:uiPriority w:val="0"/>
  </w:style>
  <w:style w:type="paragraph" w:styleId="18">
    <w:name w:val="toc 6"/>
    <w:basedOn w:val="1"/>
    <w:next w:val="1"/>
    <w:qFormat/>
    <w:uiPriority w:val="0"/>
    <w:pPr>
      <w:ind w:left="2100" w:leftChars="1000"/>
    </w:pPr>
  </w:style>
  <w:style w:type="paragraph" w:styleId="19">
    <w:name w:val="toc 2"/>
    <w:basedOn w:val="1"/>
    <w:next w:val="1"/>
    <w:qFormat/>
    <w:uiPriority w:val="0"/>
    <w:pPr>
      <w:ind w:left="420" w:leftChars="200"/>
    </w:pPr>
  </w:style>
  <w:style w:type="paragraph" w:styleId="20">
    <w:name w:val="toc 9"/>
    <w:basedOn w:val="1"/>
    <w:next w:val="1"/>
    <w:qFormat/>
    <w:uiPriority w:val="0"/>
    <w:pPr>
      <w:ind w:left="3360" w:leftChars="1600"/>
    </w:pPr>
  </w:style>
  <w:style w:type="paragraph" w:styleId="21">
    <w:name w:val="Normal (Web)"/>
    <w:basedOn w:val="1"/>
    <w:qFormat/>
    <w:uiPriority w:val="0"/>
    <w:rPr>
      <w:sz w:val="24"/>
    </w:rPr>
  </w:style>
  <w:style w:type="character" w:customStyle="1" w:styleId="24">
    <w:name w:val="标题 1 Char"/>
    <w:link w:val="4"/>
    <w:qFormat/>
    <w:uiPriority w:val="0"/>
    <w:rPr>
      <w:rFonts w:eastAsia="黑体"/>
      <w:kern w:val="44"/>
      <w:sz w:val="32"/>
    </w:rPr>
  </w:style>
  <w:style w:type="character" w:customStyle="1" w:styleId="25">
    <w:name w:val="标题 2 Char"/>
    <w:link w:val="5"/>
    <w:qFormat/>
    <w:uiPriority w:val="0"/>
    <w:rPr>
      <w:rFonts w:ascii="Arial" w:hAnsi="Arial" w:eastAsia="楷体_GB2312"/>
      <w:sz w:val="32"/>
    </w:rPr>
  </w:style>
  <w:style w:type="character" w:customStyle="1" w:styleId="26">
    <w:name w:val="默认段落字体1"/>
    <w:qFormat/>
    <w:uiPriority w:val="0"/>
  </w:style>
  <w:style w:type="paragraph" w:customStyle="1" w:styleId="27">
    <w:name w:val="Heading"/>
    <w:basedOn w:val="1"/>
    <w:next w:val="9"/>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28">
    <w:name w:val="Index"/>
    <w:basedOn w:val="1"/>
    <w:qFormat/>
    <w:uiPriority w:val="0"/>
    <w:pPr>
      <w:widowControl w:val="0"/>
      <w:suppressLineNumbers/>
      <w:suppressAutoHyphens/>
    </w:pPr>
  </w:style>
  <w:style w:type="paragraph" w:customStyle="1" w:styleId="29">
    <w:name w:val="样式 行距: 固定值 28.9 磅"/>
    <w:basedOn w:val="1"/>
    <w:qFormat/>
    <w:uiPriority w:val="0"/>
    <w:pPr>
      <w:spacing w:line="578" w:lineRule="exact"/>
    </w:pPr>
    <w:rPr>
      <w:rFonts w:cs="宋体"/>
      <w:szCs w:val="20"/>
      <w:lang w:bidi="ar-SA"/>
    </w:rPr>
  </w:style>
  <w:style w:type="paragraph" w:customStyle="1" w:styleId="30">
    <w:name w:val="WPSOffice手动目录 1"/>
    <w:uiPriority w:val="0"/>
    <w:pPr>
      <w:ind w:leftChars="0"/>
    </w:pPr>
    <w:rPr>
      <w:rFonts w:ascii="Times New Roman" w:hAnsi="Times New Roman" w:eastAsia="宋体" w:cs="Times New Roman"/>
      <w:sz w:val="20"/>
      <w:szCs w:val="20"/>
    </w:rPr>
  </w:style>
  <w:style w:type="paragraph" w:customStyle="1" w:styleId="3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3700</Words>
  <Characters>4061</Characters>
  <Lines>0</Lines>
  <Paragraphs>0</Paragraphs>
  <TotalTime>9</TotalTime>
  <ScaleCrop>false</ScaleCrop>
  <LinksUpToDate>false</LinksUpToDate>
  <CharactersWithSpaces>4296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dell</cp:lastModifiedBy>
  <dcterms:modified xsi:type="dcterms:W3CDTF">2024-03-03T16:42:11Z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