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广元市计划生育协会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numberInDash"/>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sdt>
      <w:sdtPr>
        <w:rPr>
          <w:rFonts w:ascii="宋体" w:hAnsi="宋体" w:eastAsia="宋体" w:cs="Times New Roman"/>
          <w:color w:val="auto"/>
          <w:kern w:val="2"/>
          <w:sz w:val="21"/>
          <w:szCs w:val="24"/>
          <w:lang w:val="en-US" w:eastAsia="zh-CN" w:bidi="ar-SA"/>
        </w:rPr>
        <w:id w:val="147479727"/>
        <w15:color w:val="DBDBDB"/>
        <w:docPartObj>
          <w:docPartGallery w:val="Table of Contents"/>
          <w:docPartUnique/>
        </w:docPartObj>
      </w:sdtPr>
      <w:sdtEndPr>
        <w:rPr>
          <w:rFonts w:hint="eastAsia" w:ascii="黑体" w:hAnsi="黑体" w:eastAsia="黑体" w:cs="黑体"/>
          <w:b/>
          <w:color w:val="auto"/>
          <w:kern w:val="2"/>
          <w:sz w:val="21"/>
          <w:szCs w:val="32"/>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60" w:lineRule="auto"/>
            <w:rPr>
              <w:b/>
            </w:rPr>
          </w:pPr>
          <w:r>
            <w:rPr>
              <w:rFonts w:hint="eastAsia" w:ascii="黑体" w:hAnsi="黑体" w:eastAsia="黑体" w:cs="黑体"/>
              <w:sz w:val="32"/>
              <w:szCs w:val="32"/>
              <w:lang w:val="en-US" w:eastAsia="zh-CN"/>
            </w:rPr>
            <w:fldChar w:fldCharType="begin"/>
          </w:r>
          <w:r>
            <w:rPr>
              <w:rFonts w:hint="eastAsia" w:ascii="黑体" w:hAnsi="黑体" w:eastAsia="黑体" w:cs="黑体"/>
              <w:sz w:val="32"/>
              <w:szCs w:val="32"/>
              <w:lang w:val="en-US" w:eastAsia="zh-CN"/>
            </w:rPr>
            <w:instrText xml:space="preserve">TOC \o "1-2" \h \u </w:instrText>
          </w:r>
          <w:r>
            <w:rPr>
              <w:rFonts w:hint="eastAsia" w:ascii="黑体" w:hAnsi="黑体" w:eastAsia="黑体" w:cs="黑体"/>
              <w:sz w:val="32"/>
              <w:szCs w:val="32"/>
              <w:lang w:val="en-US" w:eastAsia="zh-CN"/>
            </w:rPr>
            <w:fldChar w:fldCharType="separate"/>
          </w: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_Toc22288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_Toc22288 \h </w:instrText>
          </w:r>
          <w:r>
            <w:rPr>
              <w:b/>
            </w:rPr>
            <w:fldChar w:fldCharType="separate"/>
          </w:r>
          <w:r>
            <w:rPr>
              <w:b/>
            </w:rPr>
            <w:t>- 1 -</w:t>
          </w:r>
          <w:r>
            <w:rPr>
              <w:b/>
            </w:rPr>
            <w:fldChar w:fldCharType="end"/>
          </w:r>
          <w:r>
            <w:rPr>
              <w:rFonts w:hint="eastAsia" w:ascii="黑体" w:hAnsi="黑体" w:eastAsia="黑体" w:cs="黑体"/>
              <w:b/>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_Toc5283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广元市计划生育协会</w:t>
          </w:r>
          <w:r>
            <w:rPr>
              <w:rFonts w:hint="eastAsia" w:ascii="楷体_GB2312" w:hAnsi="楷体_GB2312" w:eastAsia="楷体_GB2312" w:cs="楷体_GB2312"/>
              <w:szCs w:val="32"/>
            </w:rPr>
            <w:t>职能简介</w:t>
          </w:r>
          <w:r>
            <w:tab/>
          </w:r>
          <w:r>
            <w:fldChar w:fldCharType="begin"/>
          </w:r>
          <w:r>
            <w:instrText xml:space="preserve"> PAGEREF _Toc5283 \h </w:instrText>
          </w:r>
          <w:r>
            <w:fldChar w:fldCharType="separate"/>
          </w:r>
          <w:r>
            <w:t>- 1 -</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_Toc18037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广元市计划生育协会</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_Toc18037 \h </w:instrText>
          </w:r>
          <w:r>
            <w:fldChar w:fldCharType="separate"/>
          </w:r>
          <w:r>
            <w:t>- 1 -</w:t>
          </w:r>
          <w:r>
            <w:fldChar w:fldCharType="end"/>
          </w:r>
          <w:r>
            <w:rPr>
              <w:rFonts w:hint="eastAsia" w:ascii="黑体" w:hAnsi="黑体" w:eastAsia="黑体" w:cs="黑体"/>
              <w:szCs w:val="32"/>
              <w:lang w:val="en-US" w:eastAsia="zh-CN"/>
            </w:rPr>
            <w:fldChar w:fldCharType="end"/>
          </w:r>
        </w:p>
        <w:p>
          <w:pPr>
            <w:pStyle w:val="15"/>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_Toc20557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_Toc20557 \h </w:instrText>
          </w:r>
          <w:r>
            <w:rPr>
              <w:b/>
            </w:rPr>
            <w:fldChar w:fldCharType="separate"/>
          </w:r>
          <w:r>
            <w:rPr>
              <w:b/>
            </w:rPr>
            <w:t>- 2 -</w:t>
          </w:r>
          <w:r>
            <w:rPr>
              <w:b/>
            </w:rPr>
            <w:fldChar w:fldCharType="end"/>
          </w:r>
          <w:r>
            <w:rPr>
              <w:rFonts w:hint="eastAsia" w:ascii="黑体" w:hAnsi="黑体" w:eastAsia="黑体" w:cs="黑体"/>
              <w:b/>
              <w:szCs w:val="32"/>
              <w:lang w:val="en-US" w:eastAsia="zh-CN"/>
            </w:rPr>
            <w:fldChar w:fldCharType="end"/>
          </w:r>
        </w:p>
        <w:p>
          <w:pPr>
            <w:pStyle w:val="15"/>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_Toc30730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_Toc30730 \h </w:instrText>
          </w:r>
          <w:r>
            <w:rPr>
              <w:b/>
            </w:rPr>
            <w:fldChar w:fldCharType="separate"/>
          </w:r>
          <w:r>
            <w:rPr>
              <w:b/>
            </w:rPr>
            <w:t>- 2 -</w:t>
          </w:r>
          <w:r>
            <w:rPr>
              <w:b/>
            </w:rPr>
            <w:fldChar w:fldCharType="end"/>
          </w:r>
          <w:r>
            <w:rPr>
              <w:rFonts w:hint="eastAsia" w:ascii="黑体" w:hAnsi="黑体" w:eastAsia="黑体" w:cs="黑体"/>
              <w:b/>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_Toc1915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_Toc1915 \h </w:instrText>
          </w:r>
          <w:r>
            <w:fldChar w:fldCharType="separate"/>
          </w:r>
          <w:r>
            <w:t>- 3 -</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_Toc481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_Toc481 \h </w:instrText>
          </w:r>
          <w:r>
            <w:fldChar w:fldCharType="separate"/>
          </w:r>
          <w:r>
            <w:t>- 3 -</w:t>
          </w:r>
          <w:r>
            <w:fldChar w:fldCharType="end"/>
          </w:r>
          <w:r>
            <w:rPr>
              <w:rFonts w:hint="eastAsia" w:ascii="黑体" w:hAnsi="黑体" w:eastAsia="黑体" w:cs="黑体"/>
              <w:szCs w:val="32"/>
              <w:lang w:val="en-US" w:eastAsia="zh-CN"/>
            </w:rPr>
            <w:fldChar w:fldCharType="end"/>
          </w:r>
        </w:p>
        <w:p>
          <w:pPr>
            <w:pStyle w:val="15"/>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_Toc8816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_Toc8816 \h </w:instrText>
          </w:r>
          <w:r>
            <w:rPr>
              <w:b/>
            </w:rPr>
            <w:fldChar w:fldCharType="separate"/>
          </w:r>
          <w:r>
            <w:rPr>
              <w:b/>
            </w:rPr>
            <w:t>- 3 -</w:t>
          </w:r>
          <w:r>
            <w:rPr>
              <w:b/>
            </w:rPr>
            <w:fldChar w:fldCharType="end"/>
          </w:r>
          <w:r>
            <w:rPr>
              <w:rFonts w:hint="eastAsia" w:ascii="黑体" w:hAnsi="黑体" w:eastAsia="黑体" w:cs="黑体"/>
              <w:b/>
              <w:szCs w:val="32"/>
              <w:lang w:val="en-US" w:eastAsia="zh-CN"/>
            </w:rPr>
            <w:fldChar w:fldCharType="end"/>
          </w:r>
        </w:p>
        <w:p>
          <w:pPr>
            <w:pStyle w:val="15"/>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_Toc13227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_Toc13227 \h </w:instrText>
          </w:r>
          <w:r>
            <w:rPr>
              <w:b/>
            </w:rPr>
            <w:fldChar w:fldCharType="separate"/>
          </w:r>
          <w:r>
            <w:rPr>
              <w:b/>
            </w:rPr>
            <w:t>- 3 -</w:t>
          </w:r>
          <w:r>
            <w:rPr>
              <w:b/>
            </w:rPr>
            <w:fldChar w:fldCharType="end"/>
          </w:r>
          <w:r>
            <w:rPr>
              <w:rFonts w:hint="eastAsia" w:ascii="黑体" w:hAnsi="黑体" w:eastAsia="黑体" w:cs="黑体"/>
              <w:b/>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_Toc180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_Toc180 \h </w:instrText>
          </w:r>
          <w:r>
            <w:fldChar w:fldCharType="separate"/>
          </w:r>
          <w:r>
            <w:t>- 3 -</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_Toc19229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_Toc19229 \h </w:instrText>
          </w:r>
          <w:r>
            <w:fldChar w:fldCharType="separate"/>
          </w:r>
          <w:r>
            <w:t>- 4 -</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_Toc31813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_Toc31813 \h </w:instrText>
          </w:r>
          <w:r>
            <w:fldChar w:fldCharType="separate"/>
          </w:r>
          <w:r>
            <w:t>- 4 -</w:t>
          </w:r>
          <w:r>
            <w:fldChar w:fldCharType="end"/>
          </w:r>
          <w:r>
            <w:rPr>
              <w:rFonts w:hint="eastAsia" w:ascii="黑体" w:hAnsi="黑体" w:eastAsia="黑体" w:cs="黑体"/>
              <w:szCs w:val="32"/>
              <w:lang w:val="en-US" w:eastAsia="zh-CN"/>
            </w:rPr>
            <w:fldChar w:fldCharType="end"/>
          </w:r>
        </w:p>
        <w:p>
          <w:pPr>
            <w:pStyle w:val="15"/>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_Toc2261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_Toc2261 \h </w:instrText>
          </w:r>
          <w:r>
            <w:rPr>
              <w:b/>
            </w:rPr>
            <w:fldChar w:fldCharType="separate"/>
          </w:r>
          <w:r>
            <w:rPr>
              <w:b/>
            </w:rPr>
            <w:t>- 4 -</w:t>
          </w:r>
          <w:r>
            <w:rPr>
              <w:b/>
            </w:rPr>
            <w:fldChar w:fldCharType="end"/>
          </w:r>
          <w:r>
            <w:rPr>
              <w:rFonts w:hint="eastAsia" w:ascii="黑体" w:hAnsi="黑体" w:eastAsia="黑体" w:cs="黑体"/>
              <w:b/>
              <w:szCs w:val="32"/>
              <w:lang w:val="en-US" w:eastAsia="zh-CN"/>
            </w:rPr>
            <w:fldChar w:fldCharType="end"/>
          </w:r>
        </w:p>
        <w:p>
          <w:pPr>
            <w:pStyle w:val="15"/>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_Toc20349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_Toc20349 \h </w:instrText>
          </w:r>
          <w:r>
            <w:rPr>
              <w:b/>
            </w:rPr>
            <w:fldChar w:fldCharType="separate"/>
          </w:r>
          <w:r>
            <w:rPr>
              <w:b/>
            </w:rPr>
            <w:t>- 5 -</w:t>
          </w:r>
          <w:r>
            <w:rPr>
              <w:b/>
            </w:rPr>
            <w:fldChar w:fldCharType="end"/>
          </w:r>
          <w:r>
            <w:rPr>
              <w:rFonts w:hint="eastAsia" w:ascii="黑体" w:hAnsi="黑体" w:eastAsia="黑体" w:cs="黑体"/>
              <w:b/>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_Toc4399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_Toc4399 \h </w:instrText>
          </w:r>
          <w:r>
            <w:fldChar w:fldCharType="separate"/>
          </w:r>
          <w:r>
            <w:t>- 5 -</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_Toc15113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_Toc15113 \h </w:instrText>
          </w:r>
          <w:r>
            <w:fldChar w:fldCharType="separate"/>
          </w:r>
          <w:r>
            <w:t>- 5 -</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_Toc8416 </w:instrText>
          </w:r>
          <w:r>
            <w:rPr>
              <w:rFonts w:hint="eastAsia" w:ascii="黑体" w:hAnsi="黑体" w:eastAsia="黑体" w:cs="黑体"/>
              <w:szCs w:val="32"/>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_Toc8416 \h </w:instrText>
          </w:r>
          <w:r>
            <w:fldChar w:fldCharType="separate"/>
          </w:r>
          <w:r>
            <w:t>- 5 -</w:t>
          </w:r>
          <w:r>
            <w:fldChar w:fldCharType="end"/>
          </w:r>
          <w:r>
            <w:rPr>
              <w:rFonts w:hint="eastAsia" w:ascii="黑体" w:hAnsi="黑体" w:eastAsia="黑体" w:cs="黑体"/>
              <w:szCs w:val="32"/>
              <w:lang w:val="en-US" w:eastAsia="zh-CN"/>
            </w:rPr>
            <w:fldChar w:fldCharType="end"/>
          </w:r>
        </w:p>
        <w:p>
          <w:pPr>
            <w:pStyle w:val="15"/>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_Toc29851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_Toc29851 \h </w:instrText>
          </w:r>
          <w:r>
            <w:rPr>
              <w:b/>
            </w:rPr>
            <w:fldChar w:fldCharType="separate"/>
          </w:r>
          <w:r>
            <w:rPr>
              <w:b/>
            </w:rPr>
            <w:t>- 5 -</w:t>
          </w:r>
          <w:r>
            <w:rPr>
              <w:b/>
            </w:rPr>
            <w:fldChar w:fldCharType="end"/>
          </w:r>
          <w:r>
            <w:rPr>
              <w:rFonts w:hint="eastAsia" w:ascii="黑体" w:hAnsi="黑体" w:eastAsia="黑体" w:cs="黑体"/>
              <w:b/>
              <w:szCs w:val="32"/>
              <w:lang w:val="en-US" w:eastAsia="zh-CN"/>
            </w:rPr>
            <w:fldChar w:fldCharType="end"/>
          </w:r>
        </w:p>
        <w:p>
          <w:pPr>
            <w:pStyle w:val="15"/>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_Toc6999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_Toc6999 \h </w:instrText>
          </w:r>
          <w:r>
            <w:rPr>
              <w:b/>
            </w:rPr>
            <w:fldChar w:fldCharType="separate"/>
          </w:r>
          <w:r>
            <w:rPr>
              <w:b/>
            </w:rPr>
            <w:t>- 6 -</w:t>
          </w:r>
          <w:r>
            <w:rPr>
              <w:b/>
            </w:rPr>
            <w:fldChar w:fldCharType="end"/>
          </w:r>
          <w:r>
            <w:rPr>
              <w:rFonts w:hint="eastAsia" w:ascii="黑体" w:hAnsi="黑体" w:eastAsia="黑体" w:cs="黑体"/>
              <w:b/>
              <w:szCs w:val="32"/>
              <w:lang w:val="en-US" w:eastAsia="zh-CN"/>
            </w:rPr>
            <w:fldChar w:fldCharType="end"/>
          </w:r>
        </w:p>
        <w:p>
          <w:pPr>
            <w:pStyle w:val="15"/>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_Toc27721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_Toc27721 \h </w:instrText>
          </w:r>
          <w:r>
            <w:rPr>
              <w:b/>
            </w:rPr>
            <w:fldChar w:fldCharType="separate"/>
          </w:r>
          <w:r>
            <w:rPr>
              <w:b/>
            </w:rPr>
            <w:t>- 6 -</w:t>
          </w:r>
          <w:r>
            <w:rPr>
              <w:b/>
            </w:rPr>
            <w:fldChar w:fldCharType="end"/>
          </w:r>
          <w:r>
            <w:rPr>
              <w:rFonts w:hint="eastAsia" w:ascii="黑体" w:hAnsi="黑体" w:eastAsia="黑体" w:cs="黑体"/>
              <w:b/>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_Toc26930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_Toc26930 \h </w:instrText>
          </w:r>
          <w:r>
            <w:fldChar w:fldCharType="separate"/>
          </w:r>
          <w:r>
            <w:t>- 6 -</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_Toc9646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_Toc9646 \h </w:instrText>
          </w:r>
          <w:r>
            <w:fldChar w:fldCharType="separate"/>
          </w:r>
          <w:r>
            <w:t>- 6 -</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_Toc3909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_Toc3909 \h </w:instrText>
          </w:r>
          <w:r>
            <w:fldChar w:fldCharType="separate"/>
          </w:r>
          <w:r>
            <w:t>- 6 -</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_Toc2889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_Toc2889 \h </w:instrText>
          </w:r>
          <w:r>
            <w:fldChar w:fldCharType="separate"/>
          </w:r>
          <w:r>
            <w:t>- 6 -</w:t>
          </w:r>
          <w:r>
            <w:fldChar w:fldCharType="end"/>
          </w:r>
          <w:r>
            <w:rPr>
              <w:rFonts w:hint="eastAsia" w:ascii="黑体" w:hAnsi="黑体" w:eastAsia="黑体" w:cs="黑体"/>
              <w:szCs w:val="32"/>
              <w:lang w:val="en-US" w:eastAsia="zh-CN"/>
            </w:rPr>
            <w:fldChar w:fldCharType="end"/>
          </w:r>
        </w:p>
        <w:p>
          <w:pPr>
            <w:pStyle w:val="15"/>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_Toc27407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_Toc27407 \h </w:instrText>
          </w:r>
          <w:r>
            <w:rPr>
              <w:b/>
            </w:rPr>
            <w:fldChar w:fldCharType="separate"/>
          </w:r>
          <w:r>
            <w:rPr>
              <w:b/>
            </w:rPr>
            <w:t>- 6 -</w:t>
          </w:r>
          <w:r>
            <w:rPr>
              <w:b/>
            </w:rPr>
            <w:fldChar w:fldCharType="end"/>
          </w:r>
          <w:r>
            <w:rPr>
              <w:rFonts w:hint="eastAsia" w:ascii="黑体" w:hAnsi="黑体" w:eastAsia="黑体" w:cs="黑体"/>
              <w:b/>
              <w:szCs w:val="32"/>
              <w:lang w:val="en-US" w:eastAsia="zh-CN"/>
            </w:rPr>
            <w:fldChar w:fldCharType="end"/>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黑体" w:hAnsi="黑体" w:eastAsia="黑体" w:cs="黑体"/>
              <w:sz w:val="32"/>
              <w:szCs w:val="32"/>
              <w:lang w:val="en-US" w:eastAsia="zh-CN"/>
            </w:rPr>
            <w:sectPr>
              <w:footerReference r:id="rId3" w:type="default"/>
              <w:pgSz w:w="11906" w:h="16838"/>
              <w:pgMar w:top="2098" w:right="1474" w:bottom="1984" w:left="1587" w:header="720" w:footer="1559" w:gutter="0"/>
              <w:pgNumType w:fmt="numberInDash" w:start="1"/>
              <w:cols w:space="720" w:num="1"/>
              <w:docGrid w:type="lines" w:linePitch="312" w:charSpace="0"/>
            </w:sectPr>
          </w:pPr>
          <w:r>
            <w:rPr>
              <w:rFonts w:hint="eastAsia" w:ascii="黑体" w:hAnsi="黑体" w:eastAsia="黑体" w:cs="黑体"/>
              <w:b/>
              <w:szCs w:val="32"/>
              <w:lang w:val="en-US" w:eastAsia="zh-CN"/>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22288"/>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5283"/>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广元市计划生育协会</w:t>
      </w:r>
      <w:r>
        <w:rPr>
          <w:rFonts w:hint="eastAsia" w:ascii="楷体_GB2312" w:hAnsi="楷体_GB2312" w:eastAsia="楷体_GB2312" w:cs="楷体_GB2312"/>
          <w:sz w:val="32"/>
          <w:szCs w:val="32"/>
        </w:rPr>
        <w:t>职能简介</w:t>
      </w:r>
      <w:bookmarkEnd w:id="1"/>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仿宋_GB2312" w:hAnsi="华文中宋" w:eastAsia="仿宋_GB2312"/>
          <w:sz w:val="32"/>
          <w:szCs w:val="32"/>
        </w:rPr>
      </w:pP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按照</w:t>
      </w:r>
      <w:r>
        <w:rPr>
          <w:rFonts w:hint="eastAsia" w:ascii="仿宋_GB2312" w:hAnsi="华文中宋" w:eastAsia="仿宋_GB2312"/>
          <w:sz w:val="32"/>
          <w:szCs w:val="32"/>
          <w:lang w:eastAsia="zh-CN"/>
        </w:rPr>
        <w:t>国家</w:t>
      </w:r>
      <w:r>
        <w:rPr>
          <w:rFonts w:hint="eastAsia" w:ascii="仿宋_GB2312" w:hAnsi="华文中宋" w:eastAsia="仿宋_GB2312"/>
          <w:sz w:val="32"/>
          <w:szCs w:val="32"/>
        </w:rPr>
        <w:t>人口计划生育工作的方针、政策，拟定和实施计生协会工作规划。协助政府有关部门贯彻《中华人民共和国人口与计划生育法》和其他有关法律法规，推动人口和计划生育工作。</w:t>
      </w:r>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仿宋_GB2312" w:hAnsi="华文中宋" w:eastAsia="仿宋_GB2312"/>
          <w:sz w:val="32"/>
          <w:szCs w:val="32"/>
        </w:rPr>
      </w:pP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指导计生协会组织建设。依据法律法规开展与计划生育相关的服务活动。</w:t>
      </w:r>
    </w:p>
    <w:p>
      <w:pPr>
        <w:keepNext w:val="0"/>
        <w:keepLines w:val="0"/>
        <w:pageBreakBefore w:val="0"/>
        <w:widowControl w:val="0"/>
        <w:shd w:val="clear"/>
        <w:kinsoku/>
        <w:wordWrap/>
        <w:overflowPunct/>
        <w:topLinePunct w:val="0"/>
        <w:autoSpaceDE/>
        <w:autoSpaceDN/>
        <w:bidi w:val="0"/>
        <w:adjustRightInd/>
        <w:snapToGrid/>
        <w:spacing w:line="580" w:lineRule="exact"/>
        <w:ind w:firstLine="624" w:firstLineChars="195"/>
        <w:textAlignment w:val="auto"/>
        <w:rPr>
          <w:rFonts w:hint="eastAsia" w:ascii="仿宋_GB2312" w:hAnsi="华文中宋" w:eastAsia="仿宋_GB2312"/>
          <w:sz w:val="32"/>
          <w:szCs w:val="32"/>
        </w:rPr>
      </w:pPr>
      <w:r>
        <w:rPr>
          <w:rFonts w:hint="eastAsia" w:ascii="仿宋_GB2312" w:hAnsi="华文中宋" w:eastAsia="仿宋_GB2312"/>
          <w:sz w:val="32"/>
          <w:szCs w:val="32"/>
          <w:lang w:val="en-US" w:eastAsia="zh-CN"/>
        </w:rPr>
        <w:t>3.</w:t>
      </w:r>
      <w:r>
        <w:rPr>
          <w:rFonts w:hint="eastAsia" w:ascii="仿宋_GB2312" w:hAnsi="华文中宋" w:eastAsia="仿宋_GB2312"/>
          <w:sz w:val="32"/>
          <w:szCs w:val="32"/>
        </w:rPr>
        <w:t>反映会员在生殖健康、计划生育等方面的诉求，依法维护会员和会员所联系的广大育龄群众的合法权益。</w:t>
      </w:r>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仿宋_GB2312" w:hAnsi="华文中宋" w:eastAsia="仿宋_GB2312"/>
          <w:sz w:val="32"/>
          <w:szCs w:val="32"/>
        </w:rPr>
      </w:pP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宣传普及有关性与生殖健康、计划生育、避孕节育和预防艾滋病的科学知识，引导群众树立科学、文明、进步的婚育观念。</w:t>
      </w:r>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仿宋_GB2312" w:hAnsi="华文中宋" w:eastAsia="仿宋_GB2312"/>
          <w:sz w:val="32"/>
          <w:szCs w:val="32"/>
        </w:rPr>
      </w:pPr>
      <w:r>
        <w:rPr>
          <w:rFonts w:hint="eastAsia" w:ascii="仿宋_GB2312" w:hAnsi="华文中宋" w:eastAsia="仿宋_GB2312"/>
          <w:sz w:val="32"/>
          <w:szCs w:val="32"/>
          <w:lang w:val="en-US" w:eastAsia="zh-CN"/>
        </w:rPr>
        <w:t>5.</w:t>
      </w:r>
      <w:r>
        <w:rPr>
          <w:rFonts w:hint="eastAsia" w:ascii="仿宋_GB2312" w:hAnsi="华文中宋" w:eastAsia="仿宋_GB2312"/>
          <w:sz w:val="32"/>
          <w:szCs w:val="32"/>
        </w:rPr>
        <w:t>关心计划生育家庭、育龄群众生殖健康、独生子女、女孩健康成长和基层计划生育工作者。</w:t>
      </w:r>
    </w:p>
    <w:p>
      <w:pPr>
        <w:keepNext w:val="0"/>
        <w:keepLines w:val="0"/>
        <w:pageBreakBefore w:val="0"/>
        <w:widowControl w:val="0"/>
        <w:shd w:val="clear"/>
        <w:kinsoku/>
        <w:wordWrap/>
        <w:overflowPunct/>
        <w:topLinePunct w:val="0"/>
        <w:autoSpaceDE/>
        <w:autoSpaceDN/>
        <w:bidi w:val="0"/>
        <w:adjustRightInd/>
        <w:snapToGrid/>
        <w:spacing w:line="580" w:lineRule="exact"/>
        <w:ind w:firstLine="624" w:firstLineChars="195"/>
        <w:textAlignment w:val="auto"/>
        <w:rPr>
          <w:rFonts w:hint="eastAsia" w:ascii="仿宋_GB2312" w:hAnsi="华文中宋" w:eastAsia="仿宋_GB2312"/>
          <w:sz w:val="32"/>
          <w:szCs w:val="32"/>
        </w:rPr>
      </w:pP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开展国内外交流与合作，根据授权负责全市幸福工程相关事宜。</w:t>
      </w:r>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承办市委、市政府和省计生协会、市</w:t>
      </w:r>
      <w:r>
        <w:rPr>
          <w:rFonts w:hint="eastAsia" w:ascii="仿宋_GB2312" w:eastAsia="仿宋_GB2312"/>
          <w:sz w:val="32"/>
          <w:szCs w:val="32"/>
          <w:lang w:eastAsia="zh-CN"/>
        </w:rPr>
        <w:t>卫生</w:t>
      </w:r>
      <w:r>
        <w:rPr>
          <w:rFonts w:hint="eastAsia" w:ascii="仿宋_GB2312" w:hAnsi="华文中宋" w:eastAsia="仿宋_GB2312"/>
          <w:sz w:val="32"/>
          <w:szCs w:val="32"/>
          <w:lang w:eastAsia="zh-CN"/>
        </w:rPr>
        <w:t>健康</w:t>
      </w:r>
      <w:r>
        <w:rPr>
          <w:rFonts w:hint="eastAsia" w:ascii="仿宋_GB2312" w:hAnsi="华文中宋" w:eastAsia="仿宋_GB2312"/>
          <w:sz w:val="32"/>
          <w:szCs w:val="32"/>
        </w:rPr>
        <w:t>委</w:t>
      </w:r>
      <w:r>
        <w:rPr>
          <w:rFonts w:hint="eastAsia" w:ascii="仿宋_GB2312" w:eastAsia="仿宋_GB2312"/>
          <w:sz w:val="32"/>
          <w:szCs w:val="32"/>
        </w:rPr>
        <w:t>交办</w:t>
      </w:r>
      <w:r>
        <w:rPr>
          <w:rFonts w:hint="eastAsia" w:ascii="仿宋_GB2312" w:eastAsia="仿宋_GB2312"/>
          <w:sz w:val="32"/>
          <w:szCs w:val="32"/>
          <w:lang w:eastAsia="zh-CN"/>
        </w:rPr>
        <w:t>的其他工作</w:t>
      </w:r>
      <w:r>
        <w:rPr>
          <w:rFonts w:hint="eastAsia" w:ascii="仿宋_GB2312" w:eastAsia="仿宋_GB2312"/>
          <w:sz w:val="32"/>
          <w:szCs w:val="32"/>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8037"/>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广元市计划生育协会</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spacing w:before="0" w:beforeAutospacing="0" w:after="0" w:afterAutospacing="0" w:line="576" w:lineRule="exact"/>
        <w:ind w:left="0" w:right="0" w:firstLine="420"/>
        <w:jc w:val="both"/>
        <w:textAlignment w:val="auto"/>
        <w:rPr>
          <w:rFonts w:hint="eastAsia" w:ascii="仿宋_GB2312" w:hAnsi="仿宋_GB2312" w:eastAsia="仿宋_GB2312" w:cs="仿宋_GB2312"/>
          <w:b w:val="0"/>
          <w:bCs w:val="0"/>
          <w:color w:val="000000"/>
          <w:kern w:val="2"/>
          <w:sz w:val="32"/>
          <w:szCs w:val="32"/>
          <w:u w:val="none"/>
          <w:lang w:val="en-US" w:eastAsia="zh-CN" w:bidi="ar-SA"/>
        </w:rPr>
      </w:pPr>
      <w:r>
        <w:rPr>
          <w:rFonts w:hint="eastAsia" w:ascii="仿宋_GB2312" w:hAnsi="仿宋_GB2312" w:eastAsia="仿宋_GB2312" w:cs="仿宋_GB2312"/>
          <w:b w:val="0"/>
          <w:bCs w:val="0"/>
          <w:color w:val="000000"/>
          <w:sz w:val="32"/>
          <w:szCs w:val="32"/>
          <w:u w:val="none"/>
          <w:lang w:val="en-US" w:eastAsia="zh-CN"/>
        </w:rPr>
        <w:t>一是坚持</w:t>
      </w:r>
      <w:r>
        <w:rPr>
          <w:rFonts w:hint="eastAsia" w:ascii="仿宋_GB2312" w:hAnsi="仿宋_GB2312" w:eastAsia="仿宋_GB2312" w:cs="仿宋_GB2312"/>
          <w:sz w:val="32"/>
          <w:szCs w:val="32"/>
        </w:rPr>
        <w:t>以习近平新时代中国特色社会主义思想为统领，用习近平新时代中国特色社会主义思想武装头脑、指导实践、推动工作。</w:t>
      </w:r>
      <w:r>
        <w:rPr>
          <w:rFonts w:hint="default" w:ascii="仿宋_GB2312" w:eastAsia="仿宋_GB2312"/>
          <w:sz w:val="32"/>
          <w:szCs w:val="32"/>
        </w:rPr>
        <w:t>准确把握习近平总书记对新时代群团工作提出的新要求，不断增强政治性、先进性、群众性，发挥桥梁纽带作用，</w:t>
      </w:r>
      <w:r>
        <w:rPr>
          <w:rFonts w:hint="eastAsia" w:ascii="仿宋_GB2312" w:eastAsia="仿宋_GB2312"/>
          <w:sz w:val="32"/>
          <w:szCs w:val="32"/>
          <w:lang w:eastAsia="zh-CN"/>
        </w:rPr>
        <w:t>做好</w:t>
      </w:r>
      <w:r>
        <w:rPr>
          <w:rFonts w:hint="default" w:ascii="仿宋_GB2312" w:eastAsia="仿宋_GB2312"/>
          <w:sz w:val="32"/>
          <w:szCs w:val="32"/>
          <w:lang w:eastAsia="zh-CN"/>
        </w:rPr>
        <w:t>党的群众路线的执行者、为民服务的践行者，</w:t>
      </w:r>
      <w:r>
        <w:rPr>
          <w:rFonts w:hint="eastAsia" w:ascii="仿宋_GB2312" w:hAnsi="仿宋_GB2312" w:eastAsia="仿宋_GB2312" w:cs="仿宋_GB2312"/>
          <w:b w:val="0"/>
          <w:bCs w:val="0"/>
          <w:color w:val="000000"/>
          <w:sz w:val="32"/>
          <w:szCs w:val="32"/>
          <w:u w:val="none"/>
          <w:lang w:val="en-US" w:eastAsia="zh-CN"/>
        </w:rPr>
        <w:t>增强研究新情况、解决新问题的能力水平，增强做好工作的信心决心和推动事业发展的责任感使命感</w:t>
      </w:r>
      <w:r>
        <w:rPr>
          <w:rFonts w:hint="default" w:ascii="仿宋_GB2312" w:hAnsi="仿宋_GB2312" w:eastAsia="仿宋_GB2312" w:cs="仿宋_GB2312"/>
          <w:sz w:val="32"/>
          <w:szCs w:val="32"/>
          <w:lang w:val="en-US" w:eastAsia="zh-CN"/>
        </w:rPr>
        <w:t>，在服务群众、树优形象上展</w:t>
      </w:r>
      <w:r>
        <w:rPr>
          <w:rFonts w:hint="default" w:ascii="仿宋_GB2312" w:hAnsi="仿宋_GB2312" w:eastAsia="仿宋_GB2312" w:cs="仿宋_GB2312"/>
          <w:b w:val="0"/>
          <w:bCs w:val="0"/>
          <w:color w:val="000000"/>
          <w:kern w:val="2"/>
          <w:sz w:val="32"/>
          <w:szCs w:val="32"/>
          <w:u w:val="none"/>
          <w:lang w:val="en-US" w:eastAsia="zh-CN" w:bidi="ar-SA"/>
        </w:rPr>
        <w:t>现新气象</w:t>
      </w:r>
      <w:r>
        <w:rPr>
          <w:rFonts w:hint="eastAsia" w:ascii="仿宋_GB2312" w:hAnsi="仿宋_GB2312" w:eastAsia="仿宋_GB2312" w:cs="仿宋_GB2312"/>
          <w:b w:val="0"/>
          <w:bCs w:val="0"/>
          <w:color w:val="000000"/>
          <w:kern w:val="2"/>
          <w:sz w:val="32"/>
          <w:szCs w:val="32"/>
          <w:u w:val="none"/>
          <w:lang w:val="en-US" w:eastAsia="zh-CN" w:bidi="ar-SA"/>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b w:val="0"/>
          <w:bCs w:val="0"/>
          <w:color w:val="000000"/>
          <w:kern w:val="2"/>
          <w:sz w:val="32"/>
          <w:szCs w:val="32"/>
          <w:u w:val="none"/>
          <w:lang w:val="en-US" w:eastAsia="zh-CN" w:bidi="ar-SA"/>
        </w:rPr>
      </w:pPr>
      <w:r>
        <w:rPr>
          <w:rFonts w:hint="eastAsia" w:ascii="仿宋_GB2312" w:eastAsia="仿宋_GB2312"/>
          <w:sz w:val="32"/>
          <w:szCs w:val="32"/>
          <w:lang w:eastAsia="zh-CN"/>
        </w:rPr>
        <w:t>二是</w:t>
      </w:r>
      <w:r>
        <w:rPr>
          <w:rFonts w:hint="eastAsia" w:ascii="仿宋_GB2312" w:hAnsi="仿宋_GB2312" w:eastAsia="仿宋_GB2312" w:cs="仿宋_GB2312"/>
          <w:b w:val="0"/>
          <w:bCs w:val="0"/>
          <w:color w:val="000000"/>
          <w:sz w:val="32"/>
          <w:szCs w:val="32"/>
          <w:u w:val="none"/>
          <w:lang w:val="en-US" w:eastAsia="zh-CN"/>
        </w:rPr>
        <w:t>深化计生协改革工作。争取各县区均完成参公入序，</w:t>
      </w:r>
      <w:r>
        <w:rPr>
          <w:rFonts w:hint="eastAsia" w:ascii="仿宋_GB2312" w:eastAsia="仿宋_GB2312"/>
          <w:sz w:val="32"/>
          <w:szCs w:val="32"/>
        </w:rPr>
        <w:t>加强基层计生协会组织规范化建设，扩大计生协会组织和工作的有效覆盖。</w:t>
      </w:r>
      <w:r>
        <w:rPr>
          <w:rFonts w:hint="default" w:ascii="仿宋_GB2312" w:hAnsi="仿宋_GB2312" w:eastAsia="仿宋_GB2312" w:cs="仿宋_GB2312"/>
          <w:b w:val="0"/>
          <w:bCs w:val="0"/>
          <w:color w:val="000000"/>
          <w:kern w:val="2"/>
          <w:sz w:val="32"/>
          <w:szCs w:val="32"/>
          <w:u w:val="none"/>
          <w:lang w:val="en-US" w:eastAsia="zh-CN" w:bidi="ar-SA"/>
        </w:rPr>
        <w:t>真正把力量配备、服务资源向基层倾斜，</w:t>
      </w:r>
      <w:r>
        <w:rPr>
          <w:rFonts w:hint="eastAsia" w:ascii="仿宋_GB2312" w:eastAsia="仿宋_GB2312"/>
          <w:sz w:val="32"/>
          <w:szCs w:val="32"/>
        </w:rPr>
        <w:t>加强计生协会队伍建设，</w:t>
      </w:r>
      <w:r>
        <w:rPr>
          <w:rFonts w:hint="eastAsia" w:ascii="仿宋_GB2312" w:hAnsi="仿宋_GB2312" w:eastAsia="仿宋_GB2312" w:cs="仿宋_GB2312"/>
          <w:b w:val="0"/>
          <w:bCs w:val="0"/>
          <w:color w:val="000000"/>
          <w:sz w:val="32"/>
          <w:szCs w:val="32"/>
          <w:u w:val="none"/>
          <w:lang w:val="en-US" w:eastAsia="zh-CN"/>
        </w:rPr>
        <w:t>打</w:t>
      </w:r>
      <w:r>
        <w:rPr>
          <w:rFonts w:hint="eastAsia" w:ascii="仿宋_GB2312" w:eastAsia="仿宋_GB2312"/>
          <w:sz w:val="32"/>
          <w:szCs w:val="32"/>
        </w:rPr>
        <w:t>造一支业务熟练的专职干部队伍，</w:t>
      </w:r>
      <w:r>
        <w:rPr>
          <w:rFonts w:hint="default" w:ascii="仿宋_GB2312" w:hAnsi="仿宋_GB2312" w:eastAsia="仿宋_GB2312" w:cs="仿宋_GB2312"/>
          <w:b w:val="0"/>
          <w:bCs w:val="0"/>
          <w:color w:val="000000"/>
          <w:kern w:val="2"/>
          <w:sz w:val="32"/>
          <w:szCs w:val="32"/>
          <w:u w:val="none"/>
          <w:lang w:val="en-US" w:eastAsia="zh-CN" w:bidi="ar-SA"/>
        </w:rPr>
        <w:t>务实创新、满腔热情地做好服务群众工作。</w:t>
      </w:r>
    </w:p>
    <w:p>
      <w:pPr>
        <w:pStyle w:val="14"/>
        <w:keepNext w:val="0"/>
        <w:keepLines w:val="0"/>
        <w:pageBreakBefore w:val="0"/>
        <w:widowControl w:val="0"/>
        <w:shd w:val="clea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color w:val="000000"/>
          <w:kern w:val="2"/>
          <w:sz w:val="32"/>
          <w:szCs w:val="32"/>
          <w:u w:val="none"/>
          <w:lang w:val="en-US" w:eastAsia="zh-CN" w:bidi="ar-SA"/>
        </w:rPr>
      </w:pPr>
      <w:r>
        <w:rPr>
          <w:rFonts w:hint="eastAsia" w:ascii="仿宋_GB2312" w:hAnsi="仿宋_GB2312" w:eastAsia="仿宋_GB2312" w:cs="仿宋_GB2312"/>
          <w:b w:val="0"/>
          <w:bCs w:val="0"/>
          <w:color w:val="000000"/>
          <w:sz w:val="32"/>
          <w:szCs w:val="32"/>
          <w:u w:val="none"/>
          <w:lang w:val="en-US" w:eastAsia="zh-CN"/>
        </w:rPr>
        <w:t>三是</w:t>
      </w:r>
      <w:r>
        <w:rPr>
          <w:rFonts w:hint="eastAsia" w:ascii="仿宋_GB2312" w:hAnsi="仿宋_GB2312" w:eastAsia="仿宋_GB2312" w:cs="仿宋_GB2312"/>
          <w:b w:val="0"/>
          <w:bCs w:val="0"/>
          <w:color w:val="000000"/>
          <w:kern w:val="2"/>
          <w:sz w:val="32"/>
          <w:szCs w:val="32"/>
          <w:u w:val="none"/>
          <w:lang w:val="en-US" w:eastAsia="zh-CN" w:bidi="ar-SA"/>
        </w:rPr>
        <w:t>协助行政部门贯彻落实中央、省委、市委关于优化生育政策、促进人口长期均衡发展的决策部署。大力宣传与优化生育政策配套的相关政策，倡导三孩新政、适龄婚育、优生优育、生殖健康、破除高价彩礼等新型婚育观念，增强群众生育意愿。</w:t>
      </w:r>
    </w:p>
    <w:p>
      <w:pPr>
        <w:pStyle w:val="14"/>
        <w:keepNext w:val="0"/>
        <w:keepLines w:val="0"/>
        <w:pageBreakBefore w:val="0"/>
        <w:widowControl w:val="0"/>
        <w:shd w:val="clear"/>
        <w:kinsoku/>
        <w:wordWrap/>
        <w:overflowPunct/>
        <w:topLinePunct w:val="0"/>
        <w:autoSpaceDE/>
        <w:autoSpaceDN/>
        <w:bidi w:val="0"/>
        <w:adjustRightInd/>
        <w:snapToGrid/>
        <w:spacing w:line="576" w:lineRule="exact"/>
        <w:ind w:left="0" w:leftChars="0" w:firstLine="640" w:firstLineChars="200"/>
        <w:textAlignment w:val="auto"/>
        <w:rPr>
          <w:rFonts w:hint="eastAsia"/>
        </w:rPr>
      </w:pPr>
      <w:r>
        <w:rPr>
          <w:rFonts w:hint="eastAsia" w:ascii="仿宋_GB2312" w:hAnsi="仿宋_GB2312" w:eastAsia="仿宋_GB2312" w:cs="仿宋_GB2312"/>
          <w:b w:val="0"/>
          <w:bCs w:val="0"/>
          <w:color w:val="000000"/>
          <w:kern w:val="2"/>
          <w:sz w:val="32"/>
          <w:szCs w:val="32"/>
          <w:u w:val="none"/>
          <w:lang w:val="en-US" w:eastAsia="zh-CN" w:bidi="ar-SA"/>
        </w:rPr>
        <w:t>四是</w:t>
      </w:r>
      <w:r>
        <w:rPr>
          <w:rFonts w:hint="default" w:ascii="仿宋_GB2312" w:hAnsi="仿宋_GB2312" w:eastAsia="仿宋_GB2312" w:cs="仿宋_GB2312"/>
          <w:b w:val="0"/>
          <w:bCs w:val="0"/>
          <w:color w:val="000000"/>
          <w:kern w:val="2"/>
          <w:sz w:val="32"/>
          <w:szCs w:val="32"/>
          <w:u w:val="none"/>
          <w:lang w:val="en-US" w:eastAsia="zh-CN" w:bidi="ar-SA"/>
        </w:rPr>
        <w:t>更加主动地把工作放在全市中心大局中来谋划和推动，把</w:t>
      </w:r>
      <w:r>
        <w:rPr>
          <w:rFonts w:hint="eastAsia" w:ascii="仿宋_GB2312" w:hAnsi="仿宋_GB2312" w:eastAsia="仿宋_GB2312" w:cs="仿宋_GB2312"/>
          <w:b w:val="0"/>
          <w:bCs w:val="0"/>
          <w:color w:val="000000"/>
          <w:kern w:val="2"/>
          <w:sz w:val="32"/>
          <w:szCs w:val="32"/>
          <w:u w:val="none"/>
          <w:lang w:val="en-US" w:eastAsia="zh-CN" w:bidi="ar-SA"/>
        </w:rPr>
        <w:t>计生协</w:t>
      </w:r>
      <w:r>
        <w:rPr>
          <w:rFonts w:hint="default" w:ascii="仿宋_GB2312" w:hAnsi="仿宋_GB2312" w:eastAsia="仿宋_GB2312" w:cs="仿宋_GB2312"/>
          <w:b w:val="0"/>
          <w:bCs w:val="0"/>
          <w:color w:val="000000"/>
          <w:kern w:val="2"/>
          <w:sz w:val="32"/>
          <w:szCs w:val="32"/>
          <w:u w:val="none"/>
          <w:lang w:val="en-US" w:eastAsia="zh-CN" w:bidi="ar-SA"/>
        </w:rPr>
        <w:t>工作的触角延伸到民生福祉增进、</w:t>
      </w:r>
      <w:r>
        <w:rPr>
          <w:rFonts w:hint="eastAsia" w:ascii="仿宋_GB2312" w:hAnsi="仿宋_GB2312" w:eastAsia="仿宋_GB2312" w:cs="仿宋_GB2312"/>
          <w:b w:val="0"/>
          <w:bCs w:val="0"/>
          <w:color w:val="000000"/>
          <w:kern w:val="2"/>
          <w:sz w:val="32"/>
          <w:szCs w:val="32"/>
          <w:u w:val="none"/>
          <w:lang w:val="en-US" w:eastAsia="zh-CN" w:bidi="ar-SA"/>
        </w:rPr>
        <w:t>基层社会治理、家庭健康促进</w:t>
      </w:r>
      <w:r>
        <w:rPr>
          <w:rFonts w:hint="default" w:ascii="仿宋_GB2312" w:hAnsi="仿宋_GB2312" w:eastAsia="仿宋_GB2312" w:cs="仿宋_GB2312"/>
          <w:b w:val="0"/>
          <w:bCs w:val="0"/>
          <w:color w:val="000000"/>
          <w:kern w:val="2"/>
          <w:sz w:val="32"/>
          <w:szCs w:val="32"/>
          <w:u w:val="none"/>
          <w:lang w:val="en-US" w:eastAsia="zh-CN" w:bidi="ar-SA"/>
        </w:rPr>
        <w:t>等上去。</w:t>
      </w:r>
      <w:r>
        <w:rPr>
          <w:rFonts w:hint="eastAsia" w:ascii="仿宋_GB2312" w:hAnsi="仿宋_GB2312" w:eastAsia="仿宋_GB2312" w:cs="仿宋_GB2312"/>
          <w:b w:val="0"/>
          <w:bCs w:val="0"/>
          <w:color w:val="000000"/>
          <w:sz w:val="32"/>
          <w:szCs w:val="32"/>
          <w:u w:val="none"/>
          <w:lang w:val="en-US" w:eastAsia="zh-CN"/>
        </w:rPr>
        <w:t>争取家庭健康促进行动试点、“向日葵”亲子小屋、新时代婚育文化建设、</w:t>
      </w:r>
      <w:r>
        <w:rPr>
          <w:rFonts w:hint="eastAsia" w:ascii="仿宋_GB2312" w:eastAsia="仿宋_GB2312"/>
          <w:sz w:val="32"/>
          <w:szCs w:val="32"/>
        </w:rPr>
        <w:t>优生优育指导中心</w:t>
      </w:r>
      <w:r>
        <w:rPr>
          <w:rFonts w:hint="eastAsia" w:ascii="仿宋_GB2312" w:hAnsi="仿宋_GB2312" w:eastAsia="仿宋_GB2312" w:cs="仿宋_GB2312"/>
          <w:b w:val="0"/>
          <w:bCs w:val="0"/>
          <w:color w:val="000000"/>
          <w:sz w:val="32"/>
          <w:szCs w:val="32"/>
          <w:u w:val="none"/>
          <w:lang w:val="en-US" w:eastAsia="zh-CN"/>
        </w:rPr>
        <w:t>等项目落地广元，争取政府配套资金支持，打造一批优生优育指导示范点等专业化服务阵地。</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20557"/>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我单位为广元市卫生健康委员会的下属二级预算单位，本单位无下属机构，设有内设机构2个。</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30730"/>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按照综合预算的原则，广元市计划生育协会所有收入和支出均纳入部门预算管理。收入包括：一般公共预算拨款收入</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lang w:val="en-US" w:eastAsia="zh-CN"/>
        </w:rPr>
        <w:t>支出包括：社会保障和就业支出、卫生健康支出、住房保障支出。广元市计划生育协会2024年收支预算总数172.98万元，比2023年收支预算总数增加7.18万元，主要原因是</w:t>
      </w:r>
      <w:r>
        <w:rPr>
          <w:rFonts w:hint="eastAsia" w:ascii="仿宋_GB2312" w:eastAsia="仿宋_GB2312"/>
          <w:sz w:val="32"/>
          <w:szCs w:val="32"/>
          <w:highlight w:val="none"/>
          <w:lang w:val="en-US" w:eastAsia="zh-CN"/>
        </w:rPr>
        <w:t>人员经费增加。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1915"/>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市计划生育协会2024年收入预算172.98万元，其中：一般公共预算拨款收入172.98万元，占100%。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481"/>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市计划生育协会单位2024年支出预算172.98万元，其中：基本支出172.98万元，占100%。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8816"/>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市计划生育协会2024年财政拨款收支预算总数172.98万元，比2023年财政拨款收支预算总数增加7.18万元，主要原因是</w:t>
      </w:r>
      <w:r>
        <w:rPr>
          <w:rFonts w:hint="eastAsia" w:ascii="仿宋_GB2312" w:eastAsia="仿宋_GB2312"/>
          <w:sz w:val="32"/>
          <w:szCs w:val="32"/>
          <w:highlight w:val="none"/>
          <w:lang w:val="en-US" w:eastAsia="zh-CN"/>
        </w:rPr>
        <w:t>人员经费增加</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收入包括：本年一般公共预算拨款收入172.98万元；支出包括：社会保障和就业支出16.02万元、卫生健康支出143.43万元、住房保障支出13.53万元。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3227"/>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80"/>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广元市计划生育协会2024年一般公共预算当年拨款172.98万元，比2023年预算数增加7.18万元，主要原因是</w:t>
      </w:r>
      <w:r>
        <w:rPr>
          <w:rFonts w:hint="eastAsia" w:ascii="仿宋_GB2312" w:eastAsia="仿宋_GB2312"/>
          <w:sz w:val="32"/>
          <w:szCs w:val="32"/>
          <w:highlight w:val="none"/>
          <w:lang w:val="en-US" w:eastAsia="zh-CN"/>
        </w:rPr>
        <w:t>人员经费增加</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9229"/>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社会保障和就业支出16.02万元，占9.26%；卫生健康支出143.43万元，占82.92%；住房保障支出13.53万元，占7.82%。</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31813"/>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社会保障和就业（类）行政事业单位养老支出（款）</w:t>
      </w:r>
      <w:r>
        <w:rPr>
          <w:rFonts w:hint="default" w:ascii="仿宋_GB2312" w:hAnsi="Calibri" w:eastAsia="仿宋_GB2312" w:cs="Times New Roman"/>
          <w:kern w:val="2"/>
          <w:sz w:val="32"/>
          <w:szCs w:val="32"/>
          <w:lang w:val="en-US" w:eastAsia="zh-CN" w:bidi="ar-SA"/>
        </w:rPr>
        <w:t>机关事业单位基本养老保险缴费支出</w:t>
      </w:r>
      <w:r>
        <w:rPr>
          <w:rFonts w:hint="eastAsia" w:ascii="仿宋_GB2312" w:eastAsia="仿宋_GB2312" w:cs="Times New Roman"/>
          <w:kern w:val="2"/>
          <w:sz w:val="32"/>
          <w:szCs w:val="32"/>
          <w:lang w:val="en-US" w:eastAsia="zh-CN" w:bidi="ar-SA"/>
        </w:rPr>
        <w:t>（项）</w:t>
      </w:r>
      <w:r>
        <w:rPr>
          <w:rFonts w:hint="eastAsia" w:ascii="仿宋_GB2312" w:hAnsi="仿宋_GB2312" w:eastAsia="仿宋_GB2312" w:cs="仿宋_GB2312"/>
          <w:sz w:val="32"/>
          <w:szCs w:val="32"/>
          <w:lang w:val="en-US" w:eastAsia="zh-CN"/>
        </w:rPr>
        <w:t>2024年预算数为16.02万元，主要用于：</w:t>
      </w:r>
      <w:r>
        <w:rPr>
          <w:rFonts w:hint="default" w:ascii="仿宋_GB2312" w:hAnsi="Calibri" w:eastAsia="仿宋_GB2312" w:cs="Times New Roman"/>
          <w:kern w:val="2"/>
          <w:sz w:val="32"/>
          <w:szCs w:val="32"/>
          <w:lang w:val="en-US" w:eastAsia="zh-CN" w:bidi="ar-SA"/>
        </w:rPr>
        <w:t>机关事业单位实施养老保险制度由单位缴纳的基本养老保险费支出</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卫生健康（类）计划生育事务（款）计划生育机构（项）2024年预算数为0.26万元，主要用于：计划生育机构的支出。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卫生健康（类）计划生育事务（款）其他计划生育事务支出（项）2024年预算数为138.01万元，主要用于：</w:t>
      </w:r>
      <w:r>
        <w:rPr>
          <w:rFonts w:hint="default" w:ascii="仿宋_GB2312" w:hAnsi="Calibri" w:eastAsia="仿宋_GB2312" w:cs="Times New Roman"/>
          <w:kern w:val="2"/>
          <w:sz w:val="32"/>
          <w:szCs w:val="32"/>
          <w:lang w:val="en-US" w:eastAsia="zh-CN" w:bidi="ar-SA"/>
        </w:rPr>
        <w:t>计划生育管理事务方面的支出</w:t>
      </w:r>
      <w:r>
        <w:rPr>
          <w:rFonts w:hint="eastAsia" w:ascii="仿宋_GB2312" w:eastAsia="仿宋_GB2312" w:cs="Times New Roman"/>
          <w:kern w:val="2"/>
          <w:sz w:val="32"/>
          <w:szCs w:val="32"/>
          <w:lang w:val="en-US" w:eastAsia="zh-CN" w:bidi="ar-SA"/>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4.卫生健康（类）行政事业单位医疗（款）事业单位医疗（项）2024年预算数为5.16万元，主要用于：事业单位基本医疗保险缴费经费。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Calibri" w:eastAsia="仿宋_GB2312" w:cs="Times New Roman"/>
          <w:kern w:val="2"/>
          <w:sz w:val="32"/>
          <w:szCs w:val="32"/>
          <w:lang w:val="en-US" w:eastAsia="zh-CN" w:bidi="ar-SA"/>
        </w:rPr>
        <w:t>住房保障支出（类）住房改革支出（款）住房公积金（项）</w:t>
      </w:r>
      <w:r>
        <w:rPr>
          <w:rFonts w:hint="eastAsia" w:ascii="仿宋_GB2312" w:hAnsi="仿宋_GB2312" w:eastAsia="仿宋_GB2312" w:cs="仿宋_GB2312"/>
          <w:sz w:val="32"/>
          <w:szCs w:val="32"/>
          <w:lang w:val="en-US" w:eastAsia="zh-CN"/>
        </w:rPr>
        <w:t>2024年预算数为13.53万元，主要用于：按规定为职工缴纳的住房公积金。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261"/>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市计划生育协会2024年一般公共预算基本支出172.98万元，其中：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人员经费151.64万元，主要包括：基本工资、津贴补贴、奖金、机关事业单位基本养老保险缴费、职工基本医疗保险缴费、其他社会保障缴费、住房公积金、生活补助等支出。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公用经费21.34万元，主要包括：办公费、印刷费、水费、邮电费、差旅费、会议费、培训费、工会经费、福利费、其他交通费用、其他商品和服务支出等支出。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0349"/>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市计划生育协会2024年“三公”经费财政拨款预算数0万元，其中：公务接待费0万元，公务用车购置及运行维护费0万元，因公出国（境）经费0万元。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4399"/>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公务接待费与2023年预算持平，未安排预算资金。</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5113"/>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公务用车购置及运行维护费与2023年预算相比持平，未安排预算资金。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8416"/>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因公出国（境）经费与2023年预算相比持平，未安排预算资金。</w:t>
      </w:r>
      <w:bookmarkStart w:id="25" w:name="_GoBack"/>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29851"/>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市计划生育协会2024年无政府性基金预算拨款安排的支出。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6999"/>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市计划生育协会2024年无国有资本经营预算拨款安排的支出。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27721"/>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26930"/>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2024年，市计划生育协会机关运行经费财政拨款预算为21.34万元，比2023年预算增加0.02万元，增长0.09%。主要原因人员经费增加。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9646"/>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2024年，市计划生育协会安排政府采购预算0万元。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3909"/>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截至2023年底，市计划生育协会共有车辆0辆，单位价值200万元以上大型设备0台。</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2889"/>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2024年市计划生育协会开展绩效目标管理的项目10个，涉及预算172.98万元。其中：人员类项目7个，涉及预算 151.64万元；运转类项目3个，涉及预算21.34万元；特定目标类项目0个，涉及预算0万元。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27407"/>
      <w:r>
        <w:rPr>
          <w:rFonts w:hint="eastAsia" w:ascii="黑体" w:hAnsi="黑体" w:eastAsia="黑体" w:cs="黑体"/>
          <w:sz w:val="32"/>
          <w:szCs w:val="32"/>
          <w:lang w:val="en-US" w:eastAsia="zh-CN"/>
        </w:rPr>
        <w:t>十一、名词解释</w:t>
      </w:r>
      <w:bookmarkEnd w:id="24"/>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default" w:ascii="仿宋_GB2312" w:hAnsi="Calibri" w:eastAsia="仿宋_GB2312" w:cs="Times New Roman"/>
          <w:kern w:val="2"/>
          <w:sz w:val="32"/>
          <w:szCs w:val="32"/>
          <w:lang w:val="en-US" w:eastAsia="zh-CN" w:bidi="ar-SA"/>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（二）社会保障和就业（类）行政事业单位养老支出（款）</w:t>
      </w:r>
      <w:r>
        <w:rPr>
          <w:rFonts w:hint="default" w:ascii="楷体_GB2312" w:hAnsi="楷体_GB2312" w:eastAsia="楷体_GB2312" w:cs="楷体_GB2312"/>
          <w:sz w:val="32"/>
          <w:szCs w:val="32"/>
          <w:lang w:val="en-US" w:eastAsia="zh-CN"/>
        </w:rPr>
        <w:t>机关事业单位基本养老保险缴费支出</w:t>
      </w:r>
      <w:r>
        <w:rPr>
          <w:rFonts w:hint="eastAsia" w:ascii="楷体_GB2312" w:hAnsi="楷体_GB2312" w:eastAsia="楷体_GB2312" w:cs="楷体_GB2312"/>
          <w:sz w:val="32"/>
          <w:szCs w:val="32"/>
          <w:lang w:val="en-US" w:eastAsia="zh-CN"/>
        </w:rPr>
        <w:t>（项）：</w:t>
      </w:r>
      <w:r>
        <w:rPr>
          <w:rFonts w:hint="default" w:ascii="仿宋_GB2312" w:hAnsi="Calibri" w:eastAsia="仿宋_GB2312" w:cs="Times New Roman"/>
          <w:kern w:val="2"/>
          <w:sz w:val="32"/>
          <w:szCs w:val="32"/>
          <w:lang w:val="en-US" w:eastAsia="zh-CN" w:bidi="ar-SA"/>
        </w:rPr>
        <w:t>指反映机关事业单位实施养老保险制度由单位缴纳的基本养老保险费支出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（三）卫生健康（类）计划生育事务（款）计划生育机构（项）：</w:t>
      </w:r>
      <w:r>
        <w:rPr>
          <w:rFonts w:hint="eastAsia" w:ascii="仿宋_GB2312" w:hAnsi="仿宋_GB2312" w:eastAsia="仿宋_GB2312" w:cs="仿宋_GB2312"/>
          <w:sz w:val="32"/>
          <w:szCs w:val="32"/>
          <w:lang w:val="en-US" w:eastAsia="zh-CN"/>
        </w:rPr>
        <w:t>指卫生健康部门所属计划生育机构的支出。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（四）卫生健康（类）计划生育事务（款）其他计划生育事务支出（项）：</w:t>
      </w:r>
      <w:r>
        <w:rPr>
          <w:rFonts w:hint="default" w:ascii="仿宋_GB2312" w:hAnsi="Calibri" w:eastAsia="仿宋_GB2312" w:cs="Times New Roman"/>
          <w:kern w:val="2"/>
          <w:sz w:val="32"/>
          <w:szCs w:val="32"/>
          <w:lang w:val="en-US" w:eastAsia="zh-CN" w:bidi="ar-SA"/>
        </w:rPr>
        <w:t>指反映除上述项目以外其他用于计划生育管理事务方面的支出。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Calibri" w:eastAsia="仿宋_GB2312" w:cs="Times New Roman"/>
          <w:kern w:val="2"/>
          <w:sz w:val="32"/>
          <w:szCs w:val="32"/>
          <w:lang w:val="en-US" w:eastAsia="zh-CN" w:bidi="ar-SA"/>
        </w:rPr>
      </w:pPr>
      <w:r>
        <w:rPr>
          <w:rFonts w:hint="eastAsia" w:ascii="楷体_GB2312" w:hAnsi="楷体_GB2312" w:eastAsia="楷体_GB2312" w:cs="楷体_GB2312"/>
          <w:sz w:val="32"/>
          <w:szCs w:val="32"/>
          <w:lang w:val="en-US" w:eastAsia="zh-CN"/>
        </w:rPr>
        <w:t>（五）卫生健康（类）行政事业单位医疗（款）事业单位医疗（项）：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w:t>
      </w:r>
      <w:r>
        <w:rPr>
          <w:rFonts w:hint="default" w:ascii="楷体_GB2312" w:hAnsi="楷体_GB2312" w:eastAsia="楷体_GB2312" w:cs="楷体_GB2312"/>
          <w:sz w:val="32"/>
          <w:szCs w:val="32"/>
          <w:lang w:val="en-US" w:eastAsia="zh-CN"/>
        </w:rPr>
        <w:t>住房保障支出（类）住房改革支出（款）住房公积金（项）</w:t>
      </w:r>
      <w:r>
        <w:rPr>
          <w:rFonts w:hint="eastAsia" w:ascii="楷体_GB2312" w:hAnsi="楷体_GB2312" w:eastAsia="楷体_GB2312" w:cs="楷体_GB2312"/>
          <w:sz w:val="32"/>
          <w:szCs w:val="32"/>
          <w:lang w:val="en-US" w:eastAsia="zh-CN"/>
        </w:rPr>
        <w:t>：</w:t>
      </w:r>
      <w:r>
        <w:rPr>
          <w:rFonts w:hint="default" w:ascii="仿宋_GB2312" w:hAnsi="Calibri" w:eastAsia="仿宋_GB2312" w:cs="Times New Roman"/>
          <w:kern w:val="2"/>
          <w:sz w:val="32"/>
          <w:szCs w:val="32"/>
          <w:lang w:val="en-US" w:eastAsia="zh-CN" w:bidi="ar-SA"/>
        </w:rPr>
        <w:t>指反映行政事业单位按人力资源和社会保障部、财政部规定的基本工资和津贴补贴以及规定比例为职工缴纳的住房公积金。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（九）机关运行经费：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市计划生育协会</w:t>
      </w:r>
      <w:r>
        <w:rPr>
          <w:rFonts w:hint="eastAsia" w:ascii="仿宋_GB2312" w:hAnsi="仿宋_GB2312" w:eastAsia="仿宋_GB2312" w:cs="仿宋_GB2312"/>
          <w:sz w:val="32"/>
          <w:szCs w:val="32"/>
          <w:lang w:val="en-US" w:eastAsia="zh-CN"/>
        </w:rPr>
        <w:t>预算公开表</w:t>
      </w:r>
    </w:p>
    <w:p>
      <w:pPr>
        <w:keepNext w:val="0"/>
        <w:keepLines w:val="0"/>
        <w:pageBreakBefore w:val="0"/>
        <w:widowControl w:val="0"/>
        <w:shd w:val="clea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pgSz w:w="11906" w:h="16838"/>
      <w:pgMar w:top="2098" w:right="1474" w:bottom="1984" w:left="1587" w:header="720" w:footer="1559"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posOffset>2614295</wp:posOffset>
              </wp:positionH>
              <wp:positionV relativeFrom="paragraph">
                <wp:posOffset>65405</wp:posOffset>
              </wp:positionV>
              <wp:extent cx="1828800" cy="307340"/>
              <wp:effectExtent l="0" t="0" r="0" b="16510"/>
              <wp:wrapNone/>
              <wp:docPr id="1" name="文本框 1"/>
              <wp:cNvGraphicFramePr/>
              <a:graphic xmlns:a="http://schemas.openxmlformats.org/drawingml/2006/main">
                <a:graphicData uri="http://schemas.microsoft.com/office/word/2010/wordprocessingShape">
                  <wps:wsp>
                    <wps:cNvSpPr txBox="1"/>
                    <wps:spPr>
                      <a:xfrm>
                        <a:off x="0" y="0"/>
                        <a:ext cx="1828800" cy="307340"/>
                      </a:xfrm>
                      <a:prstGeom prst="rect">
                        <a:avLst/>
                      </a:prstGeom>
                      <a:solidFill>
                        <a:schemeClr val="bg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14:textFill>
                                <w14:solidFill>
                                  <w14:schemeClr w14:val="tx1"/>
                                </w14:solidFill>
                              </w14:textFill>
                            </w:rPr>
                            <w:instrText xml:space="preserve"> PAGE  \* MERGEFORMAT </w:instrTex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3</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5.85pt;margin-top:5.15pt;height:24.2pt;width:144pt;mso-position-horizontal-relative:margin;mso-wrap-style:none;z-index:251659264;mso-width-relative:page;mso-height-relative:page;" fillcolor="#FFFFFF [3212]" filled="t" stroked="f" coordsize="21600,21600" o:gfxdata="UEsDBAoAAAAAAIdO4kAAAAAAAAAAAAAAAAAEAAAAZHJzL1BLAwQUAAAACACHTuJAFzNtZdkAAAAJ&#10;AQAADwAAAGRycy9kb3ducmV2LnhtbE2PTU+DQBCG7yb+h82YeCF2Fz9oiyw9mBgTEw9tsectTIHA&#10;ziK7pfjvHU96nHmfvPNMtpltLyYcfetIQ7xQIJBKV7VUayj2r3crED4YqkzvCDV8o4dNfn2VmbRy&#10;F9ritAu14BLyqdHQhDCkUvqyQWv8wg1InJ3caE3gcaxlNZoLl9te3iuVSGta4guNGfClwbLbna2G&#10;eurePz/mN5l0SWEO+yj6Klyk9e1NrJ5BBJzDHwy/+qwOOTsd3ZkqL3oNj3G8ZJQD9QCCgWS95sVR&#10;w9NqCTLP5P8P8h9QSwMEFAAAAAgAh07iQARvF5xJAgAAiQQAAA4AAABkcnMvZTJvRG9jLnhtbK1U&#10;zW7UMBC+I/EOlu80aQtltWq2WlotQqpopYI4ex1nY8nxWLZ3k/IA8AacuHDnufocfHayLRQOPbAH&#10;79jz+30zk9OzoTNsp3zQZCt+eFBypqykWttNxT9+WL2YcRaisLUwZFXFb1XgZ4vnz057N1dH1JKp&#10;lWcIYsO8dxVvY3TzogiyVZ0IB+SUhbIh34mIq98UtRc9onemOCrLk6InXztPUoWA14tRyaeI/ikB&#10;qWm0VBckt52ycYzqlRERkEKrXeCLXG3TKBmvmiaoyEzFgTTmE0kgr9NZLE7FfOOFa7WcShBPKeER&#10;pk5oi6T3oS5EFGzr9V+hOi09BWrigaSuGIFkRoDisHzEzU0rnMpYQHVw96SH/xdWvt9de6ZrTAJn&#10;VnRo+N23r3fff979+MIOEz29C3NY3TjYxeENDcl0eg94TKiHxnfpH3gY9CD39p5cNUQmk9PsaDYr&#10;oZLQHZevj19m9osHb+dDfKuoY0mouEfzMqdidxkiMsJ0b5KSBTK6Xmlj8sVv1ufGs51Ao1f5l4qE&#10;yx9mxrK+4ifHr8oc2VLyH+2MhXkCO4JKUhzWw4R0TfUtCPA0TlBwcqVR5aUI8Vp4jAyAYaniFY7G&#10;EJLQJHHWkv/8r/dkj05Cy1mPEay4xcZxZt5ZdBgB417we2G9F+y2OydARddQSxbh4KPZi42n7hM2&#10;bZlyQCWsRKaKx714Hsc1wKZKtVxmo63zetOODphPJ+KlvXEypUkkW1puIzU6NyMRNLIy8YYJzYRP&#10;25RW4Pd7tnr4gix+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BczbWXZAAAACQEAAA8AAAAAAAAA&#10;AQAgAAAAIgAAAGRycy9kb3ducmV2LnhtbFBLAQIUABQAAAAIAIdO4kAEbxecSQIAAIkEAAAOAAAA&#10;AAAAAAEAIAAAACgBAABkcnMvZTJvRG9jLnhtbFBLBQYAAAAABgAGAFkBAADjBQAAAAA=&#10;">
              <v:fill on="t" focussize="0,0"/>
              <v:stroke on="f" weight="0.5pt"/>
              <v:imagedata o:title=""/>
              <o:lock v:ext="edit" aspectratio="f"/>
              <v:textbox inset="0mm,0mm,0mm,0mm">
                <w:txbxContent>
                  <w:p>
                    <w:pPr>
                      <w:pStyle w:val="5"/>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14:textFill>
                          <w14:solidFill>
                            <w14:schemeClr w14:val="tx1"/>
                          </w14:solidFill>
                        </w14:textFill>
                      </w:rPr>
                      <w:instrText xml:space="preserve"> PAGE  \* MERGEFORMAT </w:instrTex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3</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d224b3af-28d2-461f-a657-b78e8c03da14"/>
  </w:docVars>
  <w:rsids>
    <w:rsidRoot w:val="00000000"/>
    <w:rsid w:val="012352D1"/>
    <w:rsid w:val="1D9F113A"/>
    <w:rsid w:val="1F7BF06F"/>
    <w:rsid w:val="1FEE4B73"/>
    <w:rsid w:val="22FB7A55"/>
    <w:rsid w:val="23CE9849"/>
    <w:rsid w:val="372799D5"/>
    <w:rsid w:val="39F304DD"/>
    <w:rsid w:val="4B046F0F"/>
    <w:rsid w:val="50A91895"/>
    <w:rsid w:val="54244390"/>
    <w:rsid w:val="54662A63"/>
    <w:rsid w:val="58064E12"/>
    <w:rsid w:val="5BFEE015"/>
    <w:rsid w:val="5E7C6D39"/>
    <w:rsid w:val="63EDCF55"/>
    <w:rsid w:val="63FBFBCF"/>
    <w:rsid w:val="669360FD"/>
    <w:rsid w:val="68FF6A83"/>
    <w:rsid w:val="69A84C84"/>
    <w:rsid w:val="6A19660D"/>
    <w:rsid w:val="6AEF6005"/>
    <w:rsid w:val="6E3DB48E"/>
    <w:rsid w:val="6FBBC9CF"/>
    <w:rsid w:val="72BDE561"/>
    <w:rsid w:val="78462278"/>
    <w:rsid w:val="78852294"/>
    <w:rsid w:val="7997EA6C"/>
    <w:rsid w:val="7AEAE675"/>
    <w:rsid w:val="7BAFCE5D"/>
    <w:rsid w:val="7C846596"/>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样式 行距: 固定值 28.9 磅"/>
    <w:basedOn w:val="1"/>
    <w:qFormat/>
    <w:uiPriority w:val="0"/>
    <w:pPr>
      <w:spacing w:line="578" w:lineRule="exact"/>
    </w:pPr>
    <w:rPr>
      <w:rFonts w:cs="宋体"/>
      <w:szCs w:val="20"/>
      <w:lang w:bidi="ar-SA"/>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table of figures"/>
    <w:basedOn w:val="1"/>
    <w:next w:val="1"/>
    <w:qFormat/>
    <w:uiPriority w:val="0"/>
    <w:pPr>
      <w:ind w:left="400" w:leftChars="200" w:hanging="200" w:hangingChars="200"/>
    </w:pPr>
  </w:style>
  <w:style w:type="paragraph" w:customStyle="1" w:styleId="15">
    <w:name w:val="WPSOffice手动目录 1"/>
    <w:uiPriority w:val="0"/>
    <w:pPr>
      <w:ind w:leftChars="0"/>
    </w:pPr>
    <w:rPr>
      <w:rFonts w:ascii="Times New Roman" w:hAnsi="Times New Roman" w:eastAsia="宋体" w:cs="Times New Roman"/>
      <w:sz w:val="20"/>
      <w:szCs w:val="20"/>
    </w:rPr>
  </w:style>
  <w:style w:type="paragraph" w:customStyle="1" w:styleId="16">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3873</Words>
  <Characters>4135</Characters>
  <TotalTime>7</TotalTime>
  <ScaleCrop>false</ScaleCrop>
  <LinksUpToDate>false</LinksUpToDate>
  <CharactersWithSpaces>4278</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dell</cp:lastModifiedBy>
  <dcterms:modified xsi:type="dcterms:W3CDTF">2024-03-03T16:53:43Z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