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广元市国土空间规划编制研究中心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613989638"/>
        <w15:color w:val="DBDBDB"/>
        <w:docPartObj>
          <w:docPartGallery w:val="Table of Contents"/>
          <w:docPartUnique/>
        </w:docPartObj>
      </w:sdtPr>
      <w:sdtEndPr>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sdtEndPr>
      <w:sdtContent>
        <w:p>
          <w:pPr>
            <w:spacing w:before="0" w:beforeLines="0" w:after="0" w:afterLines="0" w:line="300" w:lineRule="auto"/>
            <w:ind w:left="0" w:leftChars="0" w:right="0" w:rightChars="0" w:firstLine="0" w:firstLineChars="0"/>
            <w:jc w:val="center"/>
          </w:pPr>
          <w:r>
            <w:rPr>
              <w:rFonts w:ascii="宋体" w:hAnsi="宋体" w:eastAsia="宋体"/>
              <w:sz w:val="21"/>
            </w:rPr>
            <w:t>目录</w:t>
          </w:r>
        </w:p>
        <w:p>
          <w:pPr>
            <w:pStyle w:val="13"/>
            <w:tabs>
              <w:tab w:val="right" w:leader="dot" w:pos="8845"/>
            </w:tabs>
            <w:spacing w:line="300" w:lineRule="auto"/>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"1-3" \h \u </w:instrText>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p>
        <w:p>
          <w:pPr>
            <w:pStyle w:val="13"/>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_Toc966609498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_Toc966609498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_Toc1826504934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广元市国土空间规划编制研究中心单位</w:t>
          </w:r>
          <w:r>
            <w:rPr>
              <w:rFonts w:hint="eastAsia" w:ascii="楷体_GB2312" w:hAnsi="楷体_GB2312" w:eastAsia="楷体_GB2312" w:cs="楷体_GB2312"/>
              <w:szCs w:val="32"/>
            </w:rPr>
            <w:t>职能简介</w:t>
          </w:r>
          <w:r>
            <w:tab/>
          </w:r>
          <w:r>
            <w:fldChar w:fldCharType="begin"/>
          </w:r>
          <w:r>
            <w:instrText xml:space="preserve"> PAGEREF _Toc1826504934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_Toc1478225354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eastAsia="zh-CN"/>
            </w:rPr>
            <w:t>广元市国土空间规划编制研究中心</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_Toc1478225354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_Toc1909610392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_Toc1909610392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_Toc1934586631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_Toc1934586631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_Toc1736039057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_Toc1736039057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_Toc603901981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_Toc603901981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_Toc485651120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_Toc485651120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_Toc1228664923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_Toc1228664923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_Toc1040764559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_Toc1040764559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_Toc1746212686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_Toc1746212686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_Toc223055270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_Toc223055270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_Toc869439794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_Toc869439794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_Toc1619776590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_Toc1619776590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_Toc1686345165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_Toc1686345165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_Toc705168300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_Toc705168300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_Toc1198730155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_Toc1198730155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_Toc571288218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_Toc571288218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_Toc1766082523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_Toc1766082523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_Toc1355023649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_Toc1355023649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_Toc1413209320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_Toc1413209320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_Toc1188327870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_Toc1188327870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_Toc1295292490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_Toc1295292490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_Toc62679716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_Toc62679716 \h </w:instrText>
          </w:r>
          <w:r>
            <w:fldChar w:fldCharType="separate"/>
          </w:r>
          <w:r>
            <w:t>10</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_Toc325230869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十一、名词解释</w:t>
          </w:r>
          <w:r>
            <w:tab/>
          </w:r>
          <w:r>
            <w:fldChar w:fldCharType="begin"/>
          </w:r>
          <w:r>
            <w:instrText xml:space="preserve"> PAGEREF _Toc325230869 \h </w:instrText>
          </w:r>
          <w:r>
            <w:fldChar w:fldCharType="separate"/>
          </w:r>
          <w:r>
            <w:t>10</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spacing w:line="300" w:lineRule="auto"/>
            <w:jc w:val="center"/>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sdtContent>
    </w:sdt>
    <w:p>
      <w:pPr>
        <w:jc w:val="center"/>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0" w:name="_Toc96660949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1826504934"/>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广元市国土空间规划编制研究中心单位</w:t>
      </w:r>
      <w:r>
        <w:rPr>
          <w:rFonts w:hint="eastAsia" w:ascii="楷体_GB2312" w:hAnsi="楷体_GB2312" w:eastAsia="楷体_GB2312" w:cs="楷体_GB2312"/>
          <w:sz w:val="32"/>
          <w:szCs w:val="32"/>
        </w:rPr>
        <w:t>职能简介</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贯彻执行国家、省、市有关国土空间规划编制管理的方针、政策和法律、法规；承担市国土空间发展战略规划、公共政策、项目和计划的研究；拟订市国土空间规划管理相关技术标准和技术规定。受市人民政府或市自然资源局委托，组织编制、维护市级国土空间总体规划、中心城区详细规划、专项规划及城市设计、相关概念性规划。负责各县（区）国土空间规划、镇（乡）国土空间规划、村规划编制的技术指导工作。协调跨县（区）重大村镇项目规划编制工作。负责历史文化名城保护规划编制相关事务工作，指导名镇、名村和历史文化街区、传统村落规划编制工作。负责组织多部门、多行业技术联审，承办市国土空间规划专业委员会工作，承担市国土空间规划委员会办公室相关事务工作。承担中心城区项目的规划选址、论证、规划设计前期研究和规划设计方案审查。负责市国土空间规划信息数据平台实施维护和国土空间总体规划、详细规划等数据更新工作。完成市委、市政府和市自然资源局交办的其他任务。</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478225354"/>
      <w:r>
        <w:rPr>
          <w:rFonts w:hint="eastAsia" w:ascii="楷体_GB2312" w:hAnsi="楷体_GB2312" w:eastAsia="楷体_GB2312" w:cs="楷体_GB2312"/>
          <w:sz w:val="32"/>
          <w:szCs w:val="32"/>
          <w:lang w:val="en-US" w:eastAsia="zh-CN"/>
        </w:rPr>
        <w:t>广元市国土空间规划编制研究中心</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纵深推进“多规合一”，助力城乡融合发展。一是牢固树立城乡“一盘棋”的思路，加快完成广元市、四个县国土空间总体规划报批。二是加快完成市中心城区9个片区26个组团详细规划及各县详细规划。完成大石前进片区详细规划调整及城市设计报批。三是持续开展第二、第三批次11个村级片区规划编制，完成33个乡镇级片区和50个典型村级片区规划报批。推进天雄村打造宜居宜业和美乡村规划编制。四是加快推进城市色彩规划等专项规划的优化完善。认真谋划市本级2024-2026年三年经营性土地储备规划。启动城北科技大道及北二环两侧、黑石坡森林公园（部分）、城东片区大稻坝、万缘原曌城项目4个重点区域面积约10.8平方公里的城市设计，积极策划包装并生成一批重大项目，为经济社会高质量发展注入规划动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着力突出“顶层设计”，全面做好规划要素保障。一是坚持底线思维，严格落实“三区三线”管控要求，完善国土空间规划“一张图”。二是及时研究出台促进房地产市场平稳健康发展规划方面政策意见。加快完成《广元市规划管理技术规定》修订，尽快出台《广元市城市建筑设计导则》《广元市试点建设城市森林花园住宅的实施细则》。三是坚持规划赋能工业经济突破增长，深入开展园区拓面扩容规划研究，优化工业空间布局，强化工业用地保障，加速完成《下西片区城市更新策划及概念规划》《秦巴生物医药产业园策划及概念规划》。四是全力做好项目保障服务工作。全方位做好中煤广元基地、广汇物流基地、川陕甘高铁快运物流基地等重点项目规划要素保障，加快推进广元核工业职业技术学院、四川信息职业技术学院等重大项目用地选址及方案设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始终践行“以人民为中心”的理念，深入开展城市能级提升行动。一是高起点开展市中心城区、四个县国土空间规划城市体检工作，不断提升城市治理效能。二是大力实施“营城”计划，加强口袋公园、城区交通组织、重点区域风貌改善提升等规划研究，开展城市天际轮廓线优化工作。三是完成上西片区城市更新规划，持续推进上西火车站功能优化、“两江四岸”、黑石坡森林公园等方案设计，完成北街、上河街、下河街以及望江路等路段改造设计，畅通“微循环”。</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1909610392"/>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广元市国土空间规划编制研究中心（机关）为二级预算单位，设有内设机构8个。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934586631"/>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按照综合预算的原则，广元市国土空间规划编制研究中心所有收入和支出均纳入部门预算管理。收入包括：一般公共预算拨款收入；支出包括：社会保障和就业支出、卫生健康支出、城乡社区支出</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住房保障支出。广元市国土空间规划编制研究中心2024年收支预算总数679.81万元,比2023年收支预算总数减少13.75万元，主要原因是2023年预算在编人数为38人，2024年预算人数为36人，减少2人。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bookmarkStart w:id="5" w:name="_Toc1736039057"/>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广元市国土空间规划编制研究中心2024年收入预算679.81万元，其中：一般公共预算拨款收入679.81万元，占100%</w:t>
      </w:r>
      <w:r>
        <w:rPr>
          <w:rFonts w:hint="default" w:ascii="仿宋_GB2312" w:hAnsi="仿宋_GB2312" w:eastAsia="仿宋_GB2312" w:cs="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bookmarkStart w:id="6" w:name="_Toc603901981"/>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广元市国土空间规划编制研究中心2024年支出预算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679.81</w:t>
      </w:r>
      <w:r>
        <w:rPr>
          <w:rFonts w:hint="eastAsia" w:ascii="仿宋_GB2312" w:hAnsi="仿宋_GB2312" w:eastAsia="仿宋_GB2312" w:cs="仿宋_GB2312"/>
          <w:sz w:val="32"/>
          <w:szCs w:val="32"/>
          <w:lang w:val="en-US" w:eastAsia="zh-CN"/>
        </w:rPr>
        <w:t>万元，其中：基本支出632.03万元，占92.97%；项目支出47.78万元，占7.03%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485651120"/>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广元市国土空间规划编制研究中心2024年财政拨款收支预算总数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679.81</w:t>
      </w:r>
      <w:r>
        <w:rPr>
          <w:rFonts w:hint="eastAsia" w:ascii="仿宋_GB2312" w:hAnsi="仿宋_GB2312" w:eastAsia="仿宋_GB2312" w:cs="仿宋_GB2312"/>
          <w:sz w:val="32"/>
          <w:szCs w:val="32"/>
          <w:lang w:val="en-US" w:eastAsia="zh-CN"/>
        </w:rPr>
        <w:t>万元,比2023年财政拨款收支预算总数减少13.75万元，主要原因是2023年预算在编人数为38人，2024年预算人数为36人，减少2人。</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w:t>
      </w:r>
      <w:r>
        <w:rPr>
          <w:rFonts w:hint="default" w:ascii="仿宋_GB2312" w:hAnsi="Calibri" w:eastAsia="仿宋_GB2312" w:cs="仿宋_GB2312"/>
          <w:color w:val="auto"/>
          <w:kern w:val="2"/>
          <w:sz w:val="32"/>
          <w:szCs w:val="32"/>
          <w:lang w:val="en-US" w:eastAsia="zh-CN" w:bidi="ar"/>
        </w:rPr>
        <w:t>本年一般公共预算拨款收入</w:t>
      </w:r>
      <w:r>
        <w:rPr>
          <w:rFonts w:hint="default" w:ascii="仿宋_GB2312" w:eastAsia="仿宋_GB2312" w:cs="仿宋_GB2312"/>
          <w:color w:val="auto"/>
          <w:kern w:val="2"/>
          <w:sz w:val="32"/>
          <w:szCs w:val="32"/>
          <w:lang w:eastAsia="zh-CN" w:bidi="ar"/>
        </w:rPr>
        <w:t>679.81万元</w:t>
      </w:r>
      <w:r>
        <w:rPr>
          <w:rFonts w:hint="eastAsia" w:ascii="仿宋_GB2312" w:eastAsia="仿宋_GB2312" w:cs="仿宋_GB2312"/>
          <w:color w:val="auto"/>
          <w:kern w:val="2"/>
          <w:sz w:val="32"/>
          <w:szCs w:val="32"/>
          <w:lang w:eastAsia="zh-CN" w:bidi="ar"/>
        </w:rPr>
        <w:t>；</w:t>
      </w:r>
      <w:r>
        <w:rPr>
          <w:rFonts w:hint="default" w:ascii="仿宋_GB2312" w:hAnsi="Calibri" w:eastAsia="仿宋_GB2312" w:cs="仿宋_GB2312"/>
          <w:color w:val="auto"/>
          <w:kern w:val="2"/>
          <w:sz w:val="32"/>
          <w:szCs w:val="32"/>
          <w:lang w:val="en-US" w:eastAsia="zh-CN" w:bidi="ar"/>
        </w:rPr>
        <w:t>支出包括：</w:t>
      </w:r>
      <w:r>
        <w:rPr>
          <w:rFonts w:hint="eastAsia" w:ascii="仿宋_GB2312" w:hAnsi="仿宋_GB2312" w:eastAsia="仿宋_GB2312" w:cs="仿宋_GB2312"/>
          <w:sz w:val="32"/>
          <w:szCs w:val="32"/>
          <w:lang w:val="en-US" w:eastAsia="zh-CN"/>
        </w:rPr>
        <w:t>社会保障和就业支出84.18万元、卫生健康支出19.55万元、城乡社区支出525.06万元，住房保障支出51.02万元。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1228664923"/>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040764559"/>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广元市国土空间规划编制研究中心2024年一般公共预算当年拨款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679.81</w:t>
      </w:r>
      <w:r>
        <w:rPr>
          <w:rFonts w:hint="eastAsia" w:ascii="仿宋_GB2312" w:hAnsi="仿宋_GB2312" w:eastAsia="仿宋_GB2312" w:cs="仿宋_GB2312"/>
          <w:sz w:val="32"/>
          <w:szCs w:val="32"/>
          <w:lang w:val="en-US" w:eastAsia="zh-CN"/>
        </w:rPr>
        <w:t>万元，比2023年预算数减少13.75万元，主要原因是2023年预算在编人数减少2人。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746212686"/>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社会保障和就业支出84.18万元，占12.38%；卫生健康支出19.55万元，占2.87%；城乡社区支出525.06万元，占77.24%；住房保障支出51.02万元，占7.51%。</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23055270"/>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1.社会保障和就业（类）行政事业单位养老支出（款）事业单位离退休（项）2024年预算数为22.68万元，主要用于：部门下属事业单位离退休人员经费支出。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2.社会保障和就业（类）行政事业单位养老支出（款）机关事业单位基本养老保险缴费支出（项）2024年预算数为59.97万元，主要用于：实施养老保险制度由单位缴纳的基本养老保险支出。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3.社会保障和就业（类）其他社会保障和就业支出（款）其他社会保障和就业支出（项）2023年预算数为1.53万元。主要用于：由单位缴纳的失业保险支出。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4.卫生健康（类）行政事业单位医疗（款）事业单位医疗（项）2024年预算数为19.55万元，主要用于：事业单位按规定由单位缴纳的基本医疗保险支出。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5.城乡社区支出（类）城乡社区规划与管理（款）城乡社区规划与管理（项）预算数为525.06万元，主要用于事业单位工资奖金津补贴、其他工资福利支出、办公经费、会议费、培训费、委托业务费、公务接待费、其他交通费、维修（护）费、工会经费、福利费、其他商品和服务支出、设备购置、其他对个人和家庭补助。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6.住房保障（类）住房改革支出（款）住房公积金（项）2024年预算数为51.02万元，主要用于：部门按规定为职工缴纳的住房公积金支出。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869439794"/>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广元市国土空间规划编制研究中心2024年一般公共预算基本支出632.03万元，其中：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人员经费563.78万元，主要包括：基本工资、津贴补贴、奖金、</w:t>
      </w:r>
      <w:r>
        <w:rPr>
          <w:rFonts w:hint="default" w:ascii="仿宋_GB2312" w:hAnsi="仿宋_GB2312" w:eastAsia="仿宋_GB2312" w:cs="仿宋_GB2312"/>
          <w:sz w:val="32"/>
          <w:szCs w:val="32"/>
          <w:lang w:eastAsia="zh-CN"/>
        </w:rPr>
        <w:t>绩效工资、</w:t>
      </w:r>
      <w:r>
        <w:rPr>
          <w:rFonts w:hint="eastAsia" w:ascii="仿宋_GB2312" w:hAnsi="仿宋_GB2312" w:eastAsia="仿宋_GB2312" w:cs="仿宋_GB2312"/>
          <w:sz w:val="32"/>
          <w:szCs w:val="32"/>
          <w:lang w:val="en-US" w:eastAsia="zh-CN"/>
        </w:rPr>
        <w:t>社会保险缴费、住房公积金</w:t>
      </w:r>
      <w:r>
        <w:rPr>
          <w:rFonts w:hint="default" w:ascii="仿宋_GB2312" w:hAnsi="仿宋_GB2312" w:eastAsia="仿宋_GB2312" w:cs="仿宋_GB2312"/>
          <w:sz w:val="32"/>
          <w:szCs w:val="32"/>
          <w:lang w:eastAsia="zh-CN"/>
        </w:rPr>
        <w:t>、生活补助</w:t>
      </w:r>
      <w:r>
        <w:rPr>
          <w:rFonts w:hint="eastAsia" w:ascii="仿宋_GB2312" w:hAnsi="仿宋_GB2312" w:eastAsia="仿宋_GB2312" w:cs="仿宋_GB2312"/>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公用经费68.25万元，主要包括：办公费、印刷费、水费、电费、邮电费、物业管理费、差旅费、维修（护）费、培训费、公务接待费、工会经费、福利费、其他交通费用</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619776590"/>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广元市国土空间规划编制研究中心2024年“三公”经费财政拨款预算数2.2万元，其中：公务接待费2.2万元，公务用车购置及运行维护费0万元，因公出国（境）经费0万元。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686345165"/>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705168300"/>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119873015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因公出国（境）经费与2023年预算相比持平。2024年无因公出国计划。</w:t>
      </w:r>
      <w:bookmarkStart w:id="25" w:name="_GoBack"/>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571288218"/>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广元市国土空间规划编制研究中心2024年无政府性基金预算拨款安排的支出。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766082523"/>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广元市国土空间规划编制研究中心2024年无国有资本经营预算拨款安排的支出。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355023649"/>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413209320"/>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广元市国土空间规划编制研究中心为</w:t>
      </w:r>
      <w:bookmarkStart w:id="21" w:name="_Toc1188327870"/>
      <w:r>
        <w:rPr>
          <w:rFonts w:hint="eastAsia" w:ascii="仿宋_GB2312" w:hAnsi="仿宋_GB2312" w:eastAsia="仿宋_GB2312" w:cs="仿宋_GB2312"/>
          <w:sz w:val="32"/>
          <w:szCs w:val="32"/>
          <w:highlight w:val="none"/>
        </w:rPr>
        <w:t>事业单位，按规定未使用机关运行的相关科目</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2024年，广元市国土空间规划编制研究中心安排政府采购预算0万元。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295292490"/>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截至2023年底，广元市国土空间规划编制研究中心共有车辆0辆。单位无价值200万元以上的大型设备。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3" w:name="_Toc62679716"/>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2024年广元市国土空间规划编制研究中心开展绩效目标管理的项目11个，涉及预算679.81万元。其中：人员类项目5个，涉及预算 563.78万元；运转类项目3个，涉及预算68.25万元；特定目标类项目3个，涉及预算47.78万元。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325230869"/>
      <w:r>
        <w:rPr>
          <w:rFonts w:hint="eastAsia" w:ascii="黑体" w:hAnsi="黑体" w:eastAsia="黑体" w:cs="黑体"/>
          <w:sz w:val="32"/>
          <w:szCs w:val="32"/>
          <w:lang w:val="en-US" w:eastAsia="zh-CN"/>
        </w:rPr>
        <w:t>十一、名词解释</w:t>
      </w:r>
      <w:bookmarkEnd w:id="24"/>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w:t>
      </w:r>
      <w:r>
        <w:rPr>
          <w:rFonts w:hint="default" w:ascii="仿宋_GB2312" w:hAnsi="Calibri" w:eastAsia="仿宋_GB2312" w:cs="仿宋_GB2312"/>
          <w:color w:val="auto"/>
          <w:kern w:val="2"/>
          <w:sz w:val="32"/>
          <w:szCs w:val="32"/>
          <w:lang w:val="en-US" w:eastAsia="zh-CN" w:bidi="ar"/>
        </w:rPr>
        <w:t>和政府性基金预算拨款</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（二）城乡社区支出（类）城乡社区规划与管理（款）城乡社区规划与管理（项）：指机关单位用于保障机构正常运行、开展日常工作的基本支出。：</w:t>
      </w:r>
      <w:r>
        <w:rPr>
          <w:rFonts w:hint="eastAsia" w:ascii="仿宋_GB2312" w:hAnsi="仿宋_GB2312" w:eastAsia="仿宋_GB2312" w:cs="仿宋_GB2312"/>
          <w:sz w:val="32"/>
          <w:szCs w:val="32"/>
          <w:lang w:val="en-US" w:eastAsia="zh-CN"/>
        </w:rPr>
        <w:t>指单位用于保障机构正常运行、开展日常工作的基本支出。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（三）社会保障和就业（类）行政事业单位养老支出（款）事业单位离退休（项）：</w:t>
      </w:r>
      <w:r>
        <w:rPr>
          <w:rFonts w:hint="eastAsia" w:ascii="仿宋_GB2312" w:hAnsi="仿宋_GB2312" w:eastAsia="仿宋_GB2312" w:cs="仿宋_GB2312"/>
          <w:sz w:val="32"/>
          <w:szCs w:val="32"/>
          <w:lang w:val="en-US" w:eastAsia="zh-CN"/>
        </w:rPr>
        <w:t>指事业单位离退休人员的支出。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（四）社会保障和就业（类）行政事业单位养老支出（款）行政单位离退休（项）：</w:t>
      </w:r>
      <w:r>
        <w:rPr>
          <w:rFonts w:hint="eastAsia" w:ascii="仿宋_GB2312" w:hAnsi="仿宋_GB2312" w:eastAsia="仿宋_GB2312" w:cs="仿宋_GB2312"/>
          <w:sz w:val="32"/>
          <w:szCs w:val="32"/>
          <w:lang w:val="en-US" w:eastAsia="zh-CN"/>
        </w:rPr>
        <w:t>指行政及参公管理事业单位离退休人员的支出。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（六）社会保障和就业（类）其他社会保障和就业支出（款）其他社会保障和就业支出（项）</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eastAsia="zh-CN"/>
        </w:rPr>
        <w:t>指</w:t>
      </w:r>
      <w:r>
        <w:rPr>
          <w:rFonts w:hint="eastAsia" w:ascii="仿宋_GB2312" w:hAnsi="仿宋_GB2312" w:eastAsia="仿宋_GB2312" w:cs="仿宋_GB2312"/>
          <w:sz w:val="32"/>
          <w:szCs w:val="32"/>
          <w:lang w:val="en-US" w:eastAsia="zh-CN"/>
        </w:rPr>
        <w:t>由单位缴纳的失业保险</w:t>
      </w:r>
      <w:r>
        <w:rPr>
          <w:rFonts w:hint="default" w:ascii="仿宋_GB2312" w:hAnsi="仿宋_GB2312" w:eastAsia="仿宋_GB2312" w:cs="仿宋_GB2312"/>
          <w:sz w:val="32"/>
          <w:szCs w:val="32"/>
          <w:lang w:eastAsia="zh-CN"/>
        </w:rPr>
        <w:t>、工伤保险</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highlight w:val="yellow"/>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八</w:t>
      </w: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九</w:t>
      </w: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一</w:t>
      </w: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3DCF92"/>
    <w:multiLevelType w:val="singleLevel"/>
    <w:tmpl w:val="C73DCF92"/>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0Y2ViYzk1ZTQ5YWU4ZjIyZTdmODI3YmFjNTU4OGEifQ=="/>
  </w:docVars>
  <w:rsids>
    <w:rsidRoot w:val="00000000"/>
    <w:rsid w:val="00B06E28"/>
    <w:rsid w:val="012352D1"/>
    <w:rsid w:val="0180098F"/>
    <w:rsid w:val="023C1459"/>
    <w:rsid w:val="02C4662B"/>
    <w:rsid w:val="032D4F5F"/>
    <w:rsid w:val="045C5590"/>
    <w:rsid w:val="05037217"/>
    <w:rsid w:val="084E7652"/>
    <w:rsid w:val="08AB0F15"/>
    <w:rsid w:val="098175B4"/>
    <w:rsid w:val="09D00453"/>
    <w:rsid w:val="09E86C39"/>
    <w:rsid w:val="0A5A11D0"/>
    <w:rsid w:val="0AAB0D8C"/>
    <w:rsid w:val="0B120B26"/>
    <w:rsid w:val="0E8302C0"/>
    <w:rsid w:val="0E8B67DF"/>
    <w:rsid w:val="0F2D71C5"/>
    <w:rsid w:val="110E3C53"/>
    <w:rsid w:val="147E306D"/>
    <w:rsid w:val="153E1DE0"/>
    <w:rsid w:val="15747FCD"/>
    <w:rsid w:val="16DBC2DB"/>
    <w:rsid w:val="19F00161"/>
    <w:rsid w:val="1CF00670"/>
    <w:rsid w:val="1D9C4564"/>
    <w:rsid w:val="1F7BF06F"/>
    <w:rsid w:val="1FD44489"/>
    <w:rsid w:val="1FEE4B73"/>
    <w:rsid w:val="221C62C3"/>
    <w:rsid w:val="22F075F2"/>
    <w:rsid w:val="23CE9849"/>
    <w:rsid w:val="24937DA4"/>
    <w:rsid w:val="24B52E7B"/>
    <w:rsid w:val="267E110E"/>
    <w:rsid w:val="27083FF7"/>
    <w:rsid w:val="271B0BF0"/>
    <w:rsid w:val="274719E5"/>
    <w:rsid w:val="288822B5"/>
    <w:rsid w:val="295F372E"/>
    <w:rsid w:val="2F162C57"/>
    <w:rsid w:val="302211CE"/>
    <w:rsid w:val="36CE2DB3"/>
    <w:rsid w:val="37704640"/>
    <w:rsid w:val="379B7E94"/>
    <w:rsid w:val="37DD3F0B"/>
    <w:rsid w:val="38A333AB"/>
    <w:rsid w:val="39F304DD"/>
    <w:rsid w:val="3A8D72B7"/>
    <w:rsid w:val="3AB2474B"/>
    <w:rsid w:val="3B99615C"/>
    <w:rsid w:val="3CD20780"/>
    <w:rsid w:val="427D1C83"/>
    <w:rsid w:val="4511371A"/>
    <w:rsid w:val="494A0234"/>
    <w:rsid w:val="4CA706AC"/>
    <w:rsid w:val="4D14627C"/>
    <w:rsid w:val="4D3C4E2E"/>
    <w:rsid w:val="4D445A4C"/>
    <w:rsid w:val="4DCB638B"/>
    <w:rsid w:val="4DDF0250"/>
    <w:rsid w:val="4EC129C1"/>
    <w:rsid w:val="5339348E"/>
    <w:rsid w:val="54244390"/>
    <w:rsid w:val="54662A63"/>
    <w:rsid w:val="54C12E33"/>
    <w:rsid w:val="54D67D81"/>
    <w:rsid w:val="554A7E27"/>
    <w:rsid w:val="5550336B"/>
    <w:rsid w:val="56D33994"/>
    <w:rsid w:val="58064E12"/>
    <w:rsid w:val="581365D8"/>
    <w:rsid w:val="58C166AE"/>
    <w:rsid w:val="59DB7A0E"/>
    <w:rsid w:val="5A110752"/>
    <w:rsid w:val="5A5534F6"/>
    <w:rsid w:val="5A9164F8"/>
    <w:rsid w:val="5AA230B8"/>
    <w:rsid w:val="5AF56D86"/>
    <w:rsid w:val="5BFEE015"/>
    <w:rsid w:val="5D7270AB"/>
    <w:rsid w:val="5E315135"/>
    <w:rsid w:val="5E5F1C11"/>
    <w:rsid w:val="5FFC5AD2"/>
    <w:rsid w:val="60065292"/>
    <w:rsid w:val="608C39E9"/>
    <w:rsid w:val="628D3A49"/>
    <w:rsid w:val="63CD6BBE"/>
    <w:rsid w:val="63EDCF55"/>
    <w:rsid w:val="63FBFBCF"/>
    <w:rsid w:val="644E726F"/>
    <w:rsid w:val="64671216"/>
    <w:rsid w:val="669360FD"/>
    <w:rsid w:val="66A01F9C"/>
    <w:rsid w:val="67862898"/>
    <w:rsid w:val="68FF6A83"/>
    <w:rsid w:val="698533BB"/>
    <w:rsid w:val="6C9F6F67"/>
    <w:rsid w:val="6DE17743"/>
    <w:rsid w:val="6F5E6337"/>
    <w:rsid w:val="6FBBC9CF"/>
    <w:rsid w:val="71492D20"/>
    <w:rsid w:val="71906C0A"/>
    <w:rsid w:val="72BDE561"/>
    <w:rsid w:val="750B0F29"/>
    <w:rsid w:val="751B5EAC"/>
    <w:rsid w:val="75510688"/>
    <w:rsid w:val="75F509B5"/>
    <w:rsid w:val="7620157F"/>
    <w:rsid w:val="76C53A33"/>
    <w:rsid w:val="77EA18BC"/>
    <w:rsid w:val="78462278"/>
    <w:rsid w:val="78BF6B5E"/>
    <w:rsid w:val="795E543B"/>
    <w:rsid w:val="7997EA6C"/>
    <w:rsid w:val="79AD66D8"/>
    <w:rsid w:val="7A344C5B"/>
    <w:rsid w:val="7A8A4E36"/>
    <w:rsid w:val="7AB160CE"/>
    <w:rsid w:val="7AC82377"/>
    <w:rsid w:val="7AEAE675"/>
    <w:rsid w:val="7BAFCE5D"/>
    <w:rsid w:val="7BCB6512"/>
    <w:rsid w:val="7CDA1AC5"/>
    <w:rsid w:val="7D46598C"/>
    <w:rsid w:val="7D5E283B"/>
    <w:rsid w:val="7DFB240B"/>
    <w:rsid w:val="7E0935ED"/>
    <w:rsid w:val="7ED5485A"/>
    <w:rsid w:val="7EDE76AE"/>
    <w:rsid w:val="7F0F4687"/>
    <w:rsid w:val="7FCF2AF7"/>
    <w:rsid w:val="9FEF033D"/>
    <w:rsid w:val="A27FF1E5"/>
    <w:rsid w:val="AFDEB5A7"/>
    <w:rsid w:val="AFEA7FBF"/>
    <w:rsid w:val="B83F4767"/>
    <w:rsid w:val="BF930F07"/>
    <w:rsid w:val="BFCE8436"/>
    <w:rsid w:val="BFF4FEBE"/>
    <w:rsid w:val="C3F7EB7A"/>
    <w:rsid w:val="C7FF8733"/>
    <w:rsid w:val="CFF5FEEC"/>
    <w:rsid w:val="D3DD9064"/>
    <w:rsid w:val="D6F76A0C"/>
    <w:rsid w:val="D7ECE8D2"/>
    <w:rsid w:val="DE5DB3F2"/>
    <w:rsid w:val="DFDD4FB5"/>
    <w:rsid w:val="E7F748B5"/>
    <w:rsid w:val="EE5F3713"/>
    <w:rsid w:val="EF13DAD8"/>
    <w:rsid w:val="EFC9D62C"/>
    <w:rsid w:val="F3B71DF2"/>
    <w:rsid w:val="F6BE9755"/>
    <w:rsid w:val="F6FFA89B"/>
    <w:rsid w:val="FAE4EFE1"/>
    <w:rsid w:val="FB9B6F12"/>
    <w:rsid w:val="FBB66A4A"/>
    <w:rsid w:val="FC9D4D1A"/>
    <w:rsid w:val="FDEE6989"/>
    <w:rsid w:val="FF5E7DB8"/>
    <w:rsid w:val="FF77E367"/>
    <w:rsid w:val="FF9A64D4"/>
    <w:rsid w:val="FFBFF261"/>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3</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dcterms:modified xsi:type="dcterms:W3CDTF">2024-02-28T11:25:57Z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