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spacing w:before="0" w:beforeAutospacing="0" w:after="0" w:afterAutospacing="0" w:line="580" w:lineRule="atLeast"/>
        <w:ind w:left="0" w:right="0" w:firstLine="0"/>
        <w:jc w:val="center"/>
        <w:outlineLvl w:val="0"/>
        <w:rPr>
          <w:rFonts w:hint="eastAsia" w:ascii="黑体" w:hAnsi="黑体" w:eastAsia="黑体" w:cs="黑体"/>
          <w:b/>
          <w:bCs/>
          <w:i w:val="0"/>
          <w:caps w:val="0"/>
          <w:color w:val="333333"/>
          <w:spacing w:val="0"/>
          <w:sz w:val="44"/>
          <w:szCs w:val="44"/>
          <w:lang w:val="en-US"/>
        </w:rPr>
      </w:pPr>
      <w:bookmarkStart w:id="0" w:name="_Toc1040"/>
      <w:r>
        <w:rPr>
          <w:rFonts w:hint="eastAsia" w:ascii="黑体" w:hAnsi="黑体" w:eastAsia="黑体" w:cs="黑体"/>
          <w:b/>
          <w:bCs/>
          <w:i w:val="0"/>
          <w:caps w:val="0"/>
          <w:color w:val="333333"/>
          <w:spacing w:val="0"/>
          <w:kern w:val="0"/>
          <w:sz w:val="44"/>
          <w:szCs w:val="44"/>
          <w:shd w:val="clear" w:color="auto" w:fill="FFFFFF"/>
          <w:lang w:val="en-US" w:eastAsia="zh-CN" w:bidi="ar"/>
        </w:rPr>
        <w:t>广元市军休所</w:t>
      </w:r>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themeFill="background1"/>
        <w:spacing w:before="0" w:beforeAutospacing="0" w:after="0" w:afterAutospacing="0" w:line="580" w:lineRule="atLeast"/>
        <w:ind w:left="0" w:right="0" w:firstLine="0"/>
        <w:jc w:val="center"/>
        <w:outlineLvl w:val="0"/>
        <w:rPr>
          <w:rFonts w:hint="eastAsia" w:ascii="黑体" w:hAnsi="黑体" w:eastAsia="黑体" w:cs="黑体"/>
          <w:b/>
          <w:bCs/>
          <w:i w:val="0"/>
          <w:caps w:val="0"/>
          <w:color w:val="333333"/>
          <w:spacing w:val="0"/>
          <w:kern w:val="0"/>
          <w:sz w:val="44"/>
          <w:szCs w:val="44"/>
          <w:shd w:val="clear" w:color="auto" w:fill="FFFFFF"/>
          <w:lang w:val="en-US" w:eastAsia="zh-CN" w:bidi="ar"/>
        </w:rPr>
      </w:pPr>
      <w:r>
        <w:rPr>
          <w:rFonts w:hint="eastAsia" w:ascii="黑体" w:hAnsi="黑体" w:eastAsia="黑体" w:cs="黑体"/>
          <w:b/>
          <w:bCs/>
          <w:i w:val="0"/>
          <w:caps w:val="0"/>
          <w:color w:val="333333"/>
          <w:spacing w:val="0"/>
          <w:kern w:val="0"/>
          <w:sz w:val="44"/>
          <w:szCs w:val="44"/>
          <w:shd w:val="clear" w:color="auto" w:fill="FFFFFF"/>
          <w:lang w:val="en-US" w:eastAsia="zh-CN" w:bidi="ar"/>
        </w:rPr>
        <w:t>2024年</w:t>
      </w:r>
      <w:r>
        <w:rPr>
          <w:rFonts w:hint="default" w:ascii="黑体" w:hAnsi="黑体" w:eastAsia="黑体" w:cs="黑体"/>
          <w:b/>
          <w:bCs/>
          <w:i w:val="0"/>
          <w:caps w:val="0"/>
          <w:color w:val="333333"/>
          <w:spacing w:val="0"/>
          <w:kern w:val="0"/>
          <w:sz w:val="44"/>
          <w:szCs w:val="44"/>
          <w:shd w:val="clear" w:color="auto" w:fill="FFFFFF"/>
          <w:lang w:eastAsia="zh-CN" w:bidi="ar"/>
        </w:rPr>
        <w:t>单位</w:t>
      </w:r>
      <w:r>
        <w:rPr>
          <w:rFonts w:hint="eastAsia" w:ascii="黑体" w:hAnsi="黑体" w:eastAsia="黑体" w:cs="黑体"/>
          <w:b/>
          <w:bCs/>
          <w:i w:val="0"/>
          <w:caps w:val="0"/>
          <w:color w:val="333333"/>
          <w:spacing w:val="0"/>
          <w:kern w:val="0"/>
          <w:sz w:val="44"/>
          <w:szCs w:val="44"/>
          <w:shd w:val="clear" w:color="auto" w:fill="FFFFFF"/>
          <w:lang w:val="en-US" w:eastAsia="zh-CN" w:bidi="ar"/>
        </w:rPr>
        <w:t>预算编制说明</w:t>
      </w: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lang w:val="en-US" w:eastAsia="zh-CN"/>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8"/>
        <w:rPr>
          <w:rFonts w:hint="eastAsia" w:ascii="黑体" w:hAnsi="黑体" w:eastAsia="黑体" w:cs="黑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lang w:val="en-US" w:eastAsia="zh-CN"/>
        </w:rPr>
      </w:pPr>
    </w:p>
    <w:p>
      <w:pPr>
        <w:pStyle w:val="8"/>
        <w:rPr>
          <w:rFonts w:hint="eastAsia"/>
          <w:lang w:val="en-US" w:eastAsia="zh-CN"/>
        </w:rPr>
      </w:pPr>
    </w:p>
    <w:sdt>
      <w:sdtPr>
        <w:rPr>
          <w:rFonts w:ascii="宋体" w:hAnsi="宋体" w:eastAsia="宋体" w:cs="Times New Roman"/>
          <w:color w:val="auto"/>
          <w:kern w:val="2"/>
          <w:sz w:val="21"/>
          <w:szCs w:val="24"/>
          <w:lang w:val="en-US" w:eastAsia="zh-CN" w:bidi="ar-SA"/>
        </w:rPr>
        <w:id w:val="147462124"/>
        <w15:color w:val="DBDBDB"/>
        <w:docPartObj>
          <w:docPartGallery w:val="Table of Contents"/>
          <w:docPartUnique/>
        </w:docPartObj>
      </w:sdtPr>
      <w:sdtEndPr>
        <w:rPr>
          <w:rFonts w:hint="eastAsia" w:ascii="Calibri" w:hAnsi="Calibri" w:eastAsia="宋体" w:cs="Times New Roman"/>
          <w:b/>
          <w:color w:val="auto"/>
          <w:kern w:val="2"/>
          <w:sz w:val="21"/>
          <w:szCs w:val="24"/>
          <w:lang w:val="en-US" w:eastAsia="zh-CN" w:bidi="ar-SA"/>
        </w:rPr>
      </w:sdtEndPr>
      <w:sdtContent>
        <w:p>
          <w:pPr>
            <w:spacing w:before="0" w:beforeLines="0" w:after="0" w:afterLines="0" w:line="300" w:lineRule="auto"/>
            <w:ind w:left="0" w:leftChars="0" w:right="0" w:rightChars="0" w:firstLine="0" w:firstLineChars="0"/>
            <w:jc w:val="center"/>
            <w:rPr>
              <w:sz w:val="36"/>
              <w:szCs w:val="44"/>
            </w:rPr>
          </w:pPr>
          <w:r>
            <w:rPr>
              <w:rFonts w:ascii="宋体" w:hAnsi="宋体" w:eastAsia="宋体"/>
              <w:sz w:val="36"/>
              <w:szCs w:val="44"/>
            </w:rPr>
            <w:t>目录</w:t>
          </w:r>
        </w:p>
        <w:p>
          <w:pPr>
            <w:pStyle w:val="15"/>
            <w:tabs>
              <w:tab w:val="right" w:leader="dot" w:pos="8845"/>
            </w:tabs>
            <w:spacing w:line="300" w:lineRule="auto"/>
            <w:rPr>
              <w:b/>
              <w:sz w:val="24"/>
              <w:szCs w:val="24"/>
            </w:rPr>
          </w:pPr>
          <w:r>
            <w:rPr>
              <w:rFonts w:hint="eastAsia"/>
              <w:sz w:val="24"/>
              <w:szCs w:val="24"/>
              <w:lang w:val="en-US" w:eastAsia="zh-CN"/>
            </w:rPr>
            <w:fldChar w:fldCharType="begin"/>
          </w:r>
          <w:r>
            <w:rPr>
              <w:rFonts w:hint="eastAsia"/>
              <w:sz w:val="24"/>
              <w:szCs w:val="24"/>
              <w:lang w:val="en-US" w:eastAsia="zh-CN"/>
            </w:rPr>
            <w:instrText xml:space="preserve">TOC \o "1-2" \h \u </w:instrText>
          </w:r>
          <w:r>
            <w:rPr>
              <w:rFonts w:hint="eastAsia"/>
              <w:sz w:val="24"/>
              <w:szCs w:val="24"/>
              <w:lang w:val="en-US" w:eastAsia="zh-CN"/>
            </w:rPr>
            <w:fldChar w:fldCharType="separate"/>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_Toc15248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一、基本职能及主要工作</w:t>
          </w:r>
          <w:r>
            <w:rPr>
              <w:b/>
              <w:sz w:val="24"/>
              <w:szCs w:val="24"/>
            </w:rPr>
            <w:tab/>
          </w:r>
          <w:r>
            <w:rPr>
              <w:b/>
              <w:sz w:val="24"/>
              <w:szCs w:val="24"/>
            </w:rPr>
            <w:fldChar w:fldCharType="begin"/>
          </w:r>
          <w:r>
            <w:rPr>
              <w:b/>
              <w:sz w:val="24"/>
              <w:szCs w:val="24"/>
            </w:rPr>
            <w:instrText xml:space="preserve"> PAGEREF _Toc15248 \h </w:instrText>
          </w:r>
          <w:r>
            <w:rPr>
              <w:b/>
              <w:sz w:val="24"/>
              <w:szCs w:val="24"/>
            </w:rPr>
            <w:fldChar w:fldCharType="separate"/>
          </w:r>
          <w:r>
            <w:rPr>
              <w:b/>
              <w:sz w:val="24"/>
              <w:szCs w:val="24"/>
            </w:rPr>
            <w:t>3</w:t>
          </w:r>
          <w:r>
            <w:rPr>
              <w:b/>
              <w:sz w:val="24"/>
              <w:szCs w:val="24"/>
            </w:rPr>
            <w:fldChar w:fldCharType="end"/>
          </w:r>
          <w:r>
            <w:rPr>
              <w:rFonts w:hint="eastAsia"/>
              <w:b/>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_Toc8647 </w:instrText>
          </w:r>
          <w:r>
            <w:rPr>
              <w:rFonts w:hint="eastAsia"/>
              <w:sz w:val="24"/>
              <w:szCs w:val="24"/>
              <w:lang w:val="en-US" w:eastAsia="zh-CN"/>
            </w:rPr>
            <w:fldChar w:fldCharType="separate"/>
          </w:r>
          <w:r>
            <w:rPr>
              <w:rFonts w:hint="eastAsia" w:ascii="仿宋_GB2312" w:hAnsi="仿宋_GB2312" w:eastAsia="仿宋_GB2312" w:cs="仿宋_GB2312"/>
              <w:i w:val="0"/>
              <w:caps w:val="0"/>
              <w:spacing w:val="0"/>
              <w:sz w:val="24"/>
              <w:szCs w:val="44"/>
              <w:shd w:val="clear" w:color="auto" w:fill="FFFFFF"/>
            </w:rPr>
            <w:t>（一）</w:t>
          </w:r>
          <w:r>
            <w:rPr>
              <w:rFonts w:hint="eastAsia" w:ascii="仿宋_GB2312" w:hAnsi="仿宋_GB2312" w:eastAsia="仿宋_GB2312" w:cs="仿宋_GB2312"/>
              <w:i w:val="0"/>
              <w:caps w:val="0"/>
              <w:spacing w:val="0"/>
              <w:sz w:val="24"/>
              <w:szCs w:val="44"/>
              <w:shd w:val="clear" w:color="auto" w:fill="FFFFFF"/>
              <w:lang w:val="en-US" w:eastAsia="zh-CN"/>
            </w:rPr>
            <w:t>市军休所</w:t>
          </w:r>
          <w:r>
            <w:rPr>
              <w:rFonts w:hint="eastAsia" w:ascii="仿宋_GB2312" w:hAnsi="仿宋_GB2312" w:eastAsia="仿宋_GB2312" w:cs="仿宋_GB2312"/>
              <w:i w:val="0"/>
              <w:caps w:val="0"/>
              <w:spacing w:val="0"/>
              <w:sz w:val="24"/>
              <w:szCs w:val="44"/>
              <w:shd w:val="clear" w:color="auto" w:fill="FFFFFF"/>
            </w:rPr>
            <w:t>职能简介</w:t>
          </w:r>
          <w:r>
            <w:rPr>
              <w:sz w:val="24"/>
              <w:szCs w:val="24"/>
            </w:rPr>
            <w:tab/>
          </w:r>
          <w:r>
            <w:rPr>
              <w:sz w:val="24"/>
              <w:szCs w:val="24"/>
            </w:rPr>
            <w:fldChar w:fldCharType="begin"/>
          </w:r>
          <w:r>
            <w:rPr>
              <w:sz w:val="24"/>
              <w:szCs w:val="24"/>
            </w:rPr>
            <w:instrText xml:space="preserve"> PAGEREF _Toc8647 \h </w:instrText>
          </w:r>
          <w:r>
            <w:rPr>
              <w:sz w:val="24"/>
              <w:szCs w:val="24"/>
            </w:rPr>
            <w:fldChar w:fldCharType="separate"/>
          </w:r>
          <w:r>
            <w:rPr>
              <w:sz w:val="24"/>
              <w:szCs w:val="24"/>
            </w:rPr>
            <w:t>3</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_Toc16494 </w:instrText>
          </w:r>
          <w:r>
            <w:rPr>
              <w:rFonts w:hint="eastAsia"/>
              <w:sz w:val="24"/>
              <w:szCs w:val="24"/>
              <w:lang w:val="en-US" w:eastAsia="zh-CN"/>
            </w:rPr>
            <w:fldChar w:fldCharType="separate"/>
          </w:r>
          <w:r>
            <w:rPr>
              <w:rFonts w:hint="eastAsia" w:ascii="仿宋_GB2312" w:hAnsi="仿宋_GB2312" w:eastAsia="仿宋_GB2312" w:cs="仿宋_GB2312"/>
              <w:sz w:val="24"/>
              <w:szCs w:val="44"/>
            </w:rPr>
            <w:t>（二）</w:t>
          </w:r>
          <w:r>
            <w:rPr>
              <w:rFonts w:hint="eastAsia" w:ascii="仿宋_GB2312" w:hAnsi="仿宋_GB2312" w:eastAsia="仿宋_GB2312" w:cs="仿宋_GB2312"/>
              <w:i w:val="0"/>
              <w:caps w:val="0"/>
              <w:spacing w:val="0"/>
              <w:sz w:val="24"/>
              <w:szCs w:val="44"/>
              <w:shd w:val="clear" w:color="auto" w:fill="FFFFFF"/>
              <w:lang w:eastAsia="zh-CN"/>
            </w:rPr>
            <w:t>市军休所</w:t>
          </w:r>
          <w:r>
            <w:rPr>
              <w:rFonts w:hint="eastAsia" w:ascii="仿宋_GB2312" w:hAnsi="仿宋_GB2312" w:eastAsia="仿宋_GB2312" w:cs="仿宋_GB2312"/>
              <w:i w:val="0"/>
              <w:caps w:val="0"/>
              <w:spacing w:val="0"/>
              <w:sz w:val="24"/>
              <w:szCs w:val="44"/>
              <w:shd w:val="clear" w:color="auto" w:fill="FFFFFF"/>
            </w:rPr>
            <w:t>202</w:t>
          </w:r>
          <w:r>
            <w:rPr>
              <w:rFonts w:hint="eastAsia" w:ascii="仿宋_GB2312" w:hAnsi="仿宋_GB2312" w:eastAsia="仿宋_GB2312" w:cs="仿宋_GB2312"/>
              <w:i w:val="0"/>
              <w:caps w:val="0"/>
              <w:spacing w:val="0"/>
              <w:sz w:val="24"/>
              <w:szCs w:val="44"/>
              <w:shd w:val="clear" w:color="auto" w:fill="FFFFFF"/>
              <w:lang w:val="en-US" w:eastAsia="zh-CN"/>
            </w:rPr>
            <w:t>4</w:t>
          </w:r>
          <w:r>
            <w:rPr>
              <w:rFonts w:hint="eastAsia" w:ascii="仿宋_GB2312" w:hAnsi="仿宋_GB2312" w:eastAsia="仿宋_GB2312" w:cs="仿宋_GB2312"/>
              <w:i w:val="0"/>
              <w:caps w:val="0"/>
              <w:spacing w:val="0"/>
              <w:sz w:val="24"/>
              <w:szCs w:val="44"/>
              <w:shd w:val="clear" w:color="auto" w:fill="FFFFFF"/>
            </w:rPr>
            <w:t>年重点工作</w:t>
          </w:r>
          <w:r>
            <w:rPr>
              <w:sz w:val="24"/>
              <w:szCs w:val="24"/>
            </w:rPr>
            <w:tab/>
          </w:r>
          <w:r>
            <w:rPr>
              <w:sz w:val="24"/>
              <w:szCs w:val="24"/>
            </w:rPr>
            <w:fldChar w:fldCharType="begin"/>
          </w:r>
          <w:r>
            <w:rPr>
              <w:sz w:val="24"/>
              <w:szCs w:val="24"/>
            </w:rPr>
            <w:instrText xml:space="preserve"> PAGEREF _Toc16494 \h </w:instrText>
          </w:r>
          <w:r>
            <w:rPr>
              <w:sz w:val="24"/>
              <w:szCs w:val="24"/>
            </w:rPr>
            <w:fldChar w:fldCharType="separate"/>
          </w:r>
          <w:r>
            <w:rPr>
              <w:sz w:val="24"/>
              <w:szCs w:val="24"/>
            </w:rPr>
            <w:t>3</w:t>
          </w:r>
          <w:r>
            <w:rPr>
              <w:sz w:val="24"/>
              <w:szCs w:val="24"/>
            </w:rPr>
            <w:fldChar w:fldCharType="end"/>
          </w:r>
          <w:r>
            <w:rPr>
              <w:rFonts w:hint="eastAsia"/>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_Toc19017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二、部门预算单位构成</w:t>
          </w:r>
          <w:r>
            <w:rPr>
              <w:b/>
              <w:sz w:val="24"/>
              <w:szCs w:val="24"/>
            </w:rPr>
            <w:tab/>
          </w:r>
          <w:r>
            <w:rPr>
              <w:b/>
              <w:sz w:val="24"/>
              <w:szCs w:val="24"/>
            </w:rPr>
            <w:fldChar w:fldCharType="begin"/>
          </w:r>
          <w:r>
            <w:rPr>
              <w:b/>
              <w:sz w:val="24"/>
              <w:szCs w:val="24"/>
            </w:rPr>
            <w:instrText xml:space="preserve"> PAGEREF _Toc19017 \h </w:instrText>
          </w:r>
          <w:r>
            <w:rPr>
              <w:b/>
              <w:sz w:val="24"/>
              <w:szCs w:val="24"/>
            </w:rPr>
            <w:fldChar w:fldCharType="separate"/>
          </w:r>
          <w:r>
            <w:rPr>
              <w:b/>
              <w:sz w:val="24"/>
              <w:szCs w:val="24"/>
            </w:rPr>
            <w:t>4</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_Toc11831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三、 收支预算情况说明</w:t>
          </w:r>
          <w:r>
            <w:rPr>
              <w:b/>
              <w:sz w:val="24"/>
              <w:szCs w:val="24"/>
            </w:rPr>
            <w:tab/>
          </w:r>
          <w:r>
            <w:rPr>
              <w:b/>
              <w:sz w:val="24"/>
              <w:szCs w:val="24"/>
            </w:rPr>
            <w:fldChar w:fldCharType="begin"/>
          </w:r>
          <w:r>
            <w:rPr>
              <w:b/>
              <w:sz w:val="24"/>
              <w:szCs w:val="24"/>
            </w:rPr>
            <w:instrText xml:space="preserve"> PAGEREF _Toc11831 \h </w:instrText>
          </w:r>
          <w:r>
            <w:rPr>
              <w:b/>
              <w:sz w:val="24"/>
              <w:szCs w:val="24"/>
            </w:rPr>
            <w:fldChar w:fldCharType="separate"/>
          </w:r>
          <w:r>
            <w:rPr>
              <w:b/>
              <w:sz w:val="24"/>
              <w:szCs w:val="24"/>
            </w:rPr>
            <w:t>4</w:t>
          </w:r>
          <w:r>
            <w:rPr>
              <w:b/>
              <w:sz w:val="24"/>
              <w:szCs w:val="24"/>
            </w:rPr>
            <w:fldChar w:fldCharType="end"/>
          </w:r>
          <w:r>
            <w:rPr>
              <w:rFonts w:hint="eastAsia"/>
              <w:b/>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_Toc9501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（一）收入预算情况</w:t>
          </w:r>
          <w:r>
            <w:rPr>
              <w:sz w:val="24"/>
              <w:szCs w:val="24"/>
            </w:rPr>
            <w:tab/>
          </w:r>
          <w:r>
            <w:rPr>
              <w:sz w:val="24"/>
              <w:szCs w:val="24"/>
            </w:rPr>
            <w:fldChar w:fldCharType="begin"/>
          </w:r>
          <w:r>
            <w:rPr>
              <w:sz w:val="24"/>
              <w:szCs w:val="24"/>
            </w:rPr>
            <w:instrText xml:space="preserve"> PAGEREF _Toc9501 \h </w:instrText>
          </w:r>
          <w:r>
            <w:rPr>
              <w:sz w:val="24"/>
              <w:szCs w:val="24"/>
            </w:rPr>
            <w:fldChar w:fldCharType="separate"/>
          </w:r>
          <w:r>
            <w:rPr>
              <w:sz w:val="24"/>
              <w:szCs w:val="24"/>
            </w:rPr>
            <w:t>4</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_Toc8906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（二）支出预算情况</w:t>
          </w:r>
          <w:r>
            <w:rPr>
              <w:sz w:val="24"/>
              <w:szCs w:val="24"/>
            </w:rPr>
            <w:tab/>
          </w:r>
          <w:r>
            <w:rPr>
              <w:sz w:val="24"/>
              <w:szCs w:val="24"/>
            </w:rPr>
            <w:fldChar w:fldCharType="begin"/>
          </w:r>
          <w:r>
            <w:rPr>
              <w:sz w:val="24"/>
              <w:szCs w:val="24"/>
            </w:rPr>
            <w:instrText xml:space="preserve"> PAGEREF _Toc8906 \h </w:instrText>
          </w:r>
          <w:r>
            <w:rPr>
              <w:sz w:val="24"/>
              <w:szCs w:val="24"/>
            </w:rPr>
            <w:fldChar w:fldCharType="separate"/>
          </w:r>
          <w:r>
            <w:rPr>
              <w:sz w:val="24"/>
              <w:szCs w:val="24"/>
            </w:rPr>
            <w:t>4</w:t>
          </w:r>
          <w:r>
            <w:rPr>
              <w:sz w:val="24"/>
              <w:szCs w:val="24"/>
            </w:rPr>
            <w:fldChar w:fldCharType="end"/>
          </w:r>
          <w:r>
            <w:rPr>
              <w:rFonts w:hint="eastAsia"/>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_Toc25425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四、财政拨款收支预算情况说明</w:t>
          </w:r>
          <w:r>
            <w:rPr>
              <w:b/>
              <w:sz w:val="24"/>
              <w:szCs w:val="24"/>
            </w:rPr>
            <w:tab/>
          </w:r>
          <w:r>
            <w:rPr>
              <w:b/>
              <w:sz w:val="24"/>
              <w:szCs w:val="24"/>
            </w:rPr>
            <w:fldChar w:fldCharType="begin"/>
          </w:r>
          <w:r>
            <w:rPr>
              <w:b/>
              <w:sz w:val="24"/>
              <w:szCs w:val="24"/>
            </w:rPr>
            <w:instrText xml:space="preserve"> PAGEREF _Toc25425 \h </w:instrText>
          </w:r>
          <w:r>
            <w:rPr>
              <w:b/>
              <w:sz w:val="24"/>
              <w:szCs w:val="24"/>
            </w:rPr>
            <w:fldChar w:fldCharType="separate"/>
          </w:r>
          <w:r>
            <w:rPr>
              <w:b/>
              <w:sz w:val="24"/>
              <w:szCs w:val="24"/>
            </w:rPr>
            <w:t>5</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_Toc4864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五、一般公共预算当年拨款情况说明</w:t>
          </w:r>
          <w:r>
            <w:rPr>
              <w:b/>
              <w:sz w:val="24"/>
              <w:szCs w:val="24"/>
            </w:rPr>
            <w:tab/>
          </w:r>
          <w:r>
            <w:rPr>
              <w:b/>
              <w:sz w:val="24"/>
              <w:szCs w:val="24"/>
            </w:rPr>
            <w:fldChar w:fldCharType="begin"/>
          </w:r>
          <w:r>
            <w:rPr>
              <w:b/>
              <w:sz w:val="24"/>
              <w:szCs w:val="24"/>
            </w:rPr>
            <w:instrText xml:space="preserve"> PAGEREF _Toc4864 \h </w:instrText>
          </w:r>
          <w:r>
            <w:rPr>
              <w:b/>
              <w:sz w:val="24"/>
              <w:szCs w:val="24"/>
            </w:rPr>
            <w:fldChar w:fldCharType="separate"/>
          </w:r>
          <w:r>
            <w:rPr>
              <w:b/>
              <w:sz w:val="24"/>
              <w:szCs w:val="24"/>
            </w:rPr>
            <w:t>5</w:t>
          </w:r>
          <w:r>
            <w:rPr>
              <w:b/>
              <w:sz w:val="24"/>
              <w:szCs w:val="24"/>
            </w:rPr>
            <w:fldChar w:fldCharType="end"/>
          </w:r>
          <w:r>
            <w:rPr>
              <w:rFonts w:hint="eastAsia"/>
              <w:b/>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_Toc5721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（一）一般公共预算当年拨款规模变化情况</w:t>
          </w:r>
          <w:r>
            <w:rPr>
              <w:sz w:val="24"/>
              <w:szCs w:val="24"/>
            </w:rPr>
            <w:tab/>
          </w:r>
          <w:r>
            <w:rPr>
              <w:sz w:val="24"/>
              <w:szCs w:val="24"/>
            </w:rPr>
            <w:fldChar w:fldCharType="begin"/>
          </w:r>
          <w:r>
            <w:rPr>
              <w:sz w:val="24"/>
              <w:szCs w:val="24"/>
            </w:rPr>
            <w:instrText xml:space="preserve"> PAGEREF _Toc5721 \h </w:instrText>
          </w:r>
          <w:r>
            <w:rPr>
              <w:sz w:val="24"/>
              <w:szCs w:val="24"/>
            </w:rPr>
            <w:fldChar w:fldCharType="separate"/>
          </w:r>
          <w:r>
            <w:rPr>
              <w:sz w:val="24"/>
              <w:szCs w:val="24"/>
            </w:rPr>
            <w:t>5</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_Toc25233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（二）一般公共预算当年拨款结构情况</w:t>
          </w:r>
          <w:r>
            <w:rPr>
              <w:sz w:val="24"/>
              <w:szCs w:val="24"/>
            </w:rPr>
            <w:tab/>
          </w:r>
          <w:r>
            <w:rPr>
              <w:sz w:val="24"/>
              <w:szCs w:val="24"/>
            </w:rPr>
            <w:fldChar w:fldCharType="begin"/>
          </w:r>
          <w:r>
            <w:rPr>
              <w:sz w:val="24"/>
              <w:szCs w:val="24"/>
            </w:rPr>
            <w:instrText xml:space="preserve"> PAGEREF _Toc25233 \h </w:instrText>
          </w:r>
          <w:r>
            <w:rPr>
              <w:sz w:val="24"/>
              <w:szCs w:val="24"/>
            </w:rPr>
            <w:fldChar w:fldCharType="separate"/>
          </w:r>
          <w:r>
            <w:rPr>
              <w:sz w:val="24"/>
              <w:szCs w:val="24"/>
            </w:rPr>
            <w:t>5</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_Toc4816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（三）一般公共预算当年拨款具体使用情况</w:t>
          </w:r>
          <w:r>
            <w:rPr>
              <w:sz w:val="24"/>
              <w:szCs w:val="24"/>
            </w:rPr>
            <w:tab/>
          </w:r>
          <w:r>
            <w:rPr>
              <w:sz w:val="24"/>
              <w:szCs w:val="24"/>
            </w:rPr>
            <w:fldChar w:fldCharType="begin"/>
          </w:r>
          <w:r>
            <w:rPr>
              <w:sz w:val="24"/>
              <w:szCs w:val="24"/>
            </w:rPr>
            <w:instrText xml:space="preserve"> PAGEREF _Toc4816 \h </w:instrText>
          </w:r>
          <w:r>
            <w:rPr>
              <w:sz w:val="24"/>
              <w:szCs w:val="24"/>
            </w:rPr>
            <w:fldChar w:fldCharType="separate"/>
          </w:r>
          <w:r>
            <w:rPr>
              <w:sz w:val="24"/>
              <w:szCs w:val="24"/>
            </w:rPr>
            <w:t>5</w:t>
          </w:r>
          <w:r>
            <w:rPr>
              <w:sz w:val="24"/>
              <w:szCs w:val="24"/>
            </w:rPr>
            <w:fldChar w:fldCharType="end"/>
          </w:r>
          <w:r>
            <w:rPr>
              <w:rFonts w:hint="eastAsia"/>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_Toc15431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六、一般公共预算基本支出情况说明</w:t>
          </w:r>
          <w:r>
            <w:rPr>
              <w:b/>
              <w:sz w:val="24"/>
              <w:szCs w:val="24"/>
            </w:rPr>
            <w:tab/>
          </w:r>
          <w:r>
            <w:rPr>
              <w:b/>
              <w:sz w:val="24"/>
              <w:szCs w:val="24"/>
            </w:rPr>
            <w:fldChar w:fldCharType="begin"/>
          </w:r>
          <w:r>
            <w:rPr>
              <w:b/>
              <w:sz w:val="24"/>
              <w:szCs w:val="24"/>
            </w:rPr>
            <w:instrText xml:space="preserve"> PAGEREF _Toc15431 \h </w:instrText>
          </w:r>
          <w:r>
            <w:rPr>
              <w:b/>
              <w:sz w:val="24"/>
              <w:szCs w:val="24"/>
            </w:rPr>
            <w:fldChar w:fldCharType="separate"/>
          </w:r>
          <w:r>
            <w:rPr>
              <w:b/>
              <w:sz w:val="24"/>
              <w:szCs w:val="24"/>
            </w:rPr>
            <w:t>6</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_Toc26233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七、“三公”经费财政拨款预算安排情况说明</w:t>
          </w:r>
          <w:r>
            <w:rPr>
              <w:b/>
              <w:sz w:val="24"/>
              <w:szCs w:val="24"/>
            </w:rPr>
            <w:tab/>
          </w:r>
          <w:r>
            <w:rPr>
              <w:b/>
              <w:sz w:val="24"/>
              <w:szCs w:val="24"/>
            </w:rPr>
            <w:fldChar w:fldCharType="begin"/>
          </w:r>
          <w:r>
            <w:rPr>
              <w:b/>
              <w:sz w:val="24"/>
              <w:szCs w:val="24"/>
            </w:rPr>
            <w:instrText xml:space="preserve"> PAGEREF _Toc26233 \h </w:instrText>
          </w:r>
          <w:r>
            <w:rPr>
              <w:b/>
              <w:sz w:val="24"/>
              <w:szCs w:val="24"/>
            </w:rPr>
            <w:fldChar w:fldCharType="separate"/>
          </w:r>
          <w:r>
            <w:rPr>
              <w:b/>
              <w:sz w:val="24"/>
              <w:szCs w:val="24"/>
            </w:rPr>
            <w:t>6</w:t>
          </w:r>
          <w:r>
            <w:rPr>
              <w:b/>
              <w:sz w:val="24"/>
              <w:szCs w:val="24"/>
            </w:rPr>
            <w:fldChar w:fldCharType="end"/>
          </w:r>
          <w:r>
            <w:rPr>
              <w:rFonts w:hint="eastAsia"/>
              <w:b/>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_Toc13460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（一）公务接待费</w:t>
          </w:r>
          <w:r>
            <w:rPr>
              <w:sz w:val="24"/>
              <w:szCs w:val="24"/>
            </w:rPr>
            <w:tab/>
          </w:r>
          <w:r>
            <w:rPr>
              <w:sz w:val="24"/>
              <w:szCs w:val="24"/>
            </w:rPr>
            <w:fldChar w:fldCharType="begin"/>
          </w:r>
          <w:r>
            <w:rPr>
              <w:sz w:val="24"/>
              <w:szCs w:val="24"/>
            </w:rPr>
            <w:instrText xml:space="preserve"> PAGEREF _Toc13460 \h </w:instrText>
          </w:r>
          <w:r>
            <w:rPr>
              <w:sz w:val="24"/>
              <w:szCs w:val="24"/>
            </w:rPr>
            <w:fldChar w:fldCharType="separate"/>
          </w:r>
          <w:r>
            <w:rPr>
              <w:sz w:val="24"/>
              <w:szCs w:val="24"/>
            </w:rPr>
            <w:t>6</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_Toc25315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（二） 公务用车购置及运行维护费</w:t>
          </w:r>
          <w:r>
            <w:rPr>
              <w:sz w:val="24"/>
              <w:szCs w:val="24"/>
            </w:rPr>
            <w:tab/>
          </w:r>
          <w:r>
            <w:rPr>
              <w:sz w:val="24"/>
              <w:szCs w:val="24"/>
            </w:rPr>
            <w:fldChar w:fldCharType="begin"/>
          </w:r>
          <w:r>
            <w:rPr>
              <w:sz w:val="24"/>
              <w:szCs w:val="24"/>
            </w:rPr>
            <w:instrText xml:space="preserve"> PAGEREF _Toc25315 \h </w:instrText>
          </w:r>
          <w:r>
            <w:rPr>
              <w:sz w:val="24"/>
              <w:szCs w:val="24"/>
            </w:rPr>
            <w:fldChar w:fldCharType="separate"/>
          </w:r>
          <w:r>
            <w:rPr>
              <w:sz w:val="24"/>
              <w:szCs w:val="24"/>
            </w:rPr>
            <w:t>7</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_Toc20995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（三）因公出国（境）经费</w:t>
          </w:r>
          <w:r>
            <w:rPr>
              <w:sz w:val="24"/>
              <w:szCs w:val="24"/>
            </w:rPr>
            <w:tab/>
          </w:r>
          <w:r>
            <w:rPr>
              <w:sz w:val="24"/>
              <w:szCs w:val="24"/>
            </w:rPr>
            <w:fldChar w:fldCharType="begin"/>
          </w:r>
          <w:r>
            <w:rPr>
              <w:sz w:val="24"/>
              <w:szCs w:val="24"/>
            </w:rPr>
            <w:instrText xml:space="preserve"> PAGEREF _Toc20995 \h </w:instrText>
          </w:r>
          <w:r>
            <w:rPr>
              <w:sz w:val="24"/>
              <w:szCs w:val="24"/>
            </w:rPr>
            <w:fldChar w:fldCharType="separate"/>
          </w:r>
          <w:r>
            <w:rPr>
              <w:sz w:val="24"/>
              <w:szCs w:val="24"/>
            </w:rPr>
            <w:t>7</w:t>
          </w:r>
          <w:r>
            <w:rPr>
              <w:sz w:val="24"/>
              <w:szCs w:val="24"/>
            </w:rPr>
            <w:fldChar w:fldCharType="end"/>
          </w:r>
          <w:r>
            <w:rPr>
              <w:rFonts w:hint="eastAsia"/>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_Toc2725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八、政府性基金预算支出情况说明</w:t>
          </w:r>
          <w:r>
            <w:rPr>
              <w:b/>
              <w:sz w:val="24"/>
              <w:szCs w:val="24"/>
            </w:rPr>
            <w:tab/>
          </w:r>
          <w:r>
            <w:rPr>
              <w:b/>
              <w:sz w:val="24"/>
              <w:szCs w:val="24"/>
            </w:rPr>
            <w:fldChar w:fldCharType="begin"/>
          </w:r>
          <w:r>
            <w:rPr>
              <w:b/>
              <w:sz w:val="24"/>
              <w:szCs w:val="24"/>
            </w:rPr>
            <w:instrText xml:space="preserve"> PAGEREF _Toc2725 \h </w:instrText>
          </w:r>
          <w:r>
            <w:rPr>
              <w:b/>
              <w:sz w:val="24"/>
              <w:szCs w:val="24"/>
            </w:rPr>
            <w:fldChar w:fldCharType="separate"/>
          </w:r>
          <w:r>
            <w:rPr>
              <w:b/>
              <w:sz w:val="24"/>
              <w:szCs w:val="24"/>
            </w:rPr>
            <w:t>7</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_Toc12841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九、国有资本经营预算支出情况说明</w:t>
          </w:r>
          <w:r>
            <w:rPr>
              <w:b/>
              <w:sz w:val="24"/>
              <w:szCs w:val="24"/>
            </w:rPr>
            <w:tab/>
          </w:r>
          <w:r>
            <w:rPr>
              <w:b/>
              <w:sz w:val="24"/>
              <w:szCs w:val="24"/>
            </w:rPr>
            <w:fldChar w:fldCharType="begin"/>
          </w:r>
          <w:r>
            <w:rPr>
              <w:b/>
              <w:sz w:val="24"/>
              <w:szCs w:val="24"/>
            </w:rPr>
            <w:instrText xml:space="preserve"> PAGEREF _Toc12841 \h </w:instrText>
          </w:r>
          <w:r>
            <w:rPr>
              <w:b/>
              <w:sz w:val="24"/>
              <w:szCs w:val="24"/>
            </w:rPr>
            <w:fldChar w:fldCharType="separate"/>
          </w:r>
          <w:r>
            <w:rPr>
              <w:b/>
              <w:sz w:val="24"/>
              <w:szCs w:val="24"/>
            </w:rPr>
            <w:t>7</w:t>
          </w:r>
          <w:r>
            <w:rPr>
              <w:b/>
              <w:sz w:val="24"/>
              <w:szCs w:val="24"/>
            </w:rPr>
            <w:fldChar w:fldCharType="end"/>
          </w:r>
          <w:r>
            <w:rPr>
              <w:rFonts w:hint="eastAsia"/>
              <w:b/>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_Toc23826 </w:instrText>
          </w:r>
          <w:r>
            <w:rPr>
              <w:rFonts w:hint="eastAsia"/>
              <w:b/>
              <w:sz w:val="24"/>
              <w:szCs w:val="24"/>
              <w:lang w:val="en-US" w:eastAsia="zh-CN"/>
            </w:rPr>
            <w:fldChar w:fldCharType="separate"/>
          </w:r>
          <w:r>
            <w:rPr>
              <w:rFonts w:hint="eastAsia" w:ascii="仿宋_GB2312" w:hAnsi="仿宋_GB2312" w:eastAsia="仿宋_GB2312" w:cs="仿宋_GB2312"/>
              <w:b/>
              <w:bCs/>
              <w:sz w:val="24"/>
              <w:szCs w:val="44"/>
              <w:lang w:val="en-US" w:eastAsia="zh-CN"/>
            </w:rPr>
            <w:t>十、其他重要事项的情况说明</w:t>
          </w:r>
          <w:r>
            <w:rPr>
              <w:b/>
              <w:sz w:val="24"/>
              <w:szCs w:val="24"/>
            </w:rPr>
            <w:tab/>
          </w:r>
          <w:r>
            <w:rPr>
              <w:b/>
              <w:sz w:val="24"/>
              <w:szCs w:val="24"/>
            </w:rPr>
            <w:fldChar w:fldCharType="begin"/>
          </w:r>
          <w:r>
            <w:rPr>
              <w:b/>
              <w:sz w:val="24"/>
              <w:szCs w:val="24"/>
            </w:rPr>
            <w:instrText xml:space="preserve"> PAGEREF _Toc23826 \h </w:instrText>
          </w:r>
          <w:r>
            <w:rPr>
              <w:b/>
              <w:sz w:val="24"/>
              <w:szCs w:val="24"/>
            </w:rPr>
            <w:fldChar w:fldCharType="separate"/>
          </w:r>
          <w:r>
            <w:rPr>
              <w:b/>
              <w:sz w:val="24"/>
              <w:szCs w:val="24"/>
            </w:rPr>
            <w:t>7</w:t>
          </w:r>
          <w:r>
            <w:rPr>
              <w:b/>
              <w:sz w:val="24"/>
              <w:szCs w:val="24"/>
            </w:rPr>
            <w:fldChar w:fldCharType="end"/>
          </w:r>
          <w:r>
            <w:rPr>
              <w:rFonts w:hint="eastAsia"/>
              <w:b/>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_Toc30446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（一）机关运行经费</w:t>
          </w:r>
          <w:r>
            <w:rPr>
              <w:sz w:val="24"/>
              <w:szCs w:val="24"/>
            </w:rPr>
            <w:tab/>
          </w:r>
          <w:r>
            <w:rPr>
              <w:sz w:val="24"/>
              <w:szCs w:val="24"/>
            </w:rPr>
            <w:fldChar w:fldCharType="begin"/>
          </w:r>
          <w:r>
            <w:rPr>
              <w:sz w:val="24"/>
              <w:szCs w:val="24"/>
            </w:rPr>
            <w:instrText xml:space="preserve"> PAGEREF _Toc30446 \h </w:instrText>
          </w:r>
          <w:r>
            <w:rPr>
              <w:sz w:val="24"/>
              <w:szCs w:val="24"/>
            </w:rPr>
            <w:fldChar w:fldCharType="separate"/>
          </w:r>
          <w:r>
            <w:rPr>
              <w:sz w:val="24"/>
              <w:szCs w:val="24"/>
            </w:rPr>
            <w:t>7</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_Toc7363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（二）政府采购情况</w:t>
          </w:r>
          <w:r>
            <w:rPr>
              <w:sz w:val="24"/>
              <w:szCs w:val="24"/>
            </w:rPr>
            <w:tab/>
          </w:r>
          <w:r>
            <w:rPr>
              <w:sz w:val="24"/>
              <w:szCs w:val="24"/>
            </w:rPr>
            <w:fldChar w:fldCharType="begin"/>
          </w:r>
          <w:r>
            <w:rPr>
              <w:sz w:val="24"/>
              <w:szCs w:val="24"/>
            </w:rPr>
            <w:instrText xml:space="preserve"> PAGEREF _Toc7363 \h </w:instrText>
          </w:r>
          <w:r>
            <w:rPr>
              <w:sz w:val="24"/>
              <w:szCs w:val="24"/>
            </w:rPr>
            <w:fldChar w:fldCharType="separate"/>
          </w:r>
          <w:r>
            <w:rPr>
              <w:sz w:val="24"/>
              <w:szCs w:val="24"/>
            </w:rPr>
            <w:t>7</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_Toc18293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（三）国有资产占有使用情况</w:t>
          </w:r>
          <w:r>
            <w:rPr>
              <w:sz w:val="24"/>
              <w:szCs w:val="24"/>
            </w:rPr>
            <w:tab/>
          </w:r>
          <w:r>
            <w:rPr>
              <w:sz w:val="24"/>
              <w:szCs w:val="24"/>
            </w:rPr>
            <w:fldChar w:fldCharType="begin"/>
          </w:r>
          <w:r>
            <w:rPr>
              <w:sz w:val="24"/>
              <w:szCs w:val="24"/>
            </w:rPr>
            <w:instrText xml:space="preserve"> PAGEREF _Toc18293 \h </w:instrText>
          </w:r>
          <w:r>
            <w:rPr>
              <w:sz w:val="24"/>
              <w:szCs w:val="24"/>
            </w:rPr>
            <w:fldChar w:fldCharType="separate"/>
          </w:r>
          <w:r>
            <w:rPr>
              <w:sz w:val="24"/>
              <w:szCs w:val="24"/>
            </w:rPr>
            <w:t>8</w:t>
          </w:r>
          <w:r>
            <w:rPr>
              <w:sz w:val="24"/>
              <w:szCs w:val="24"/>
            </w:rPr>
            <w:fldChar w:fldCharType="end"/>
          </w:r>
          <w:r>
            <w:rPr>
              <w:rFonts w:hint="eastAsia"/>
              <w:sz w:val="24"/>
              <w:szCs w:val="24"/>
              <w:lang w:val="en-US" w:eastAsia="zh-CN"/>
            </w:rPr>
            <w:fldChar w:fldCharType="end"/>
          </w:r>
        </w:p>
        <w:p>
          <w:pPr>
            <w:pStyle w:val="16"/>
            <w:tabs>
              <w:tab w:val="right" w:leader="dot" w:pos="8845"/>
            </w:tabs>
            <w:spacing w:line="300" w:lineRule="auto"/>
            <w:rPr>
              <w:sz w:val="24"/>
              <w:szCs w:val="24"/>
            </w:rPr>
          </w:pPr>
          <w:r>
            <w:rPr>
              <w:rFonts w:hint="eastAsia"/>
              <w:sz w:val="24"/>
              <w:szCs w:val="24"/>
              <w:lang w:val="en-US" w:eastAsia="zh-CN"/>
            </w:rPr>
            <w:fldChar w:fldCharType="begin"/>
          </w:r>
          <w:r>
            <w:rPr>
              <w:rFonts w:hint="eastAsia"/>
              <w:sz w:val="24"/>
              <w:szCs w:val="24"/>
              <w:lang w:val="en-US" w:eastAsia="zh-CN"/>
            </w:rPr>
            <w:instrText xml:space="preserve"> HYPERLINK \l _Toc20353 </w:instrText>
          </w:r>
          <w:r>
            <w:rPr>
              <w:rFonts w:hint="eastAsia"/>
              <w:sz w:val="24"/>
              <w:szCs w:val="24"/>
              <w:lang w:val="en-US" w:eastAsia="zh-CN"/>
            </w:rPr>
            <w:fldChar w:fldCharType="separate"/>
          </w:r>
          <w:r>
            <w:rPr>
              <w:rFonts w:hint="eastAsia" w:ascii="仿宋_GB2312" w:hAnsi="仿宋_GB2312" w:eastAsia="仿宋_GB2312" w:cs="仿宋_GB2312"/>
              <w:sz w:val="24"/>
              <w:szCs w:val="44"/>
              <w:lang w:val="en-US" w:eastAsia="zh-CN"/>
            </w:rPr>
            <w:t>（四）绩效目标设置情况</w:t>
          </w:r>
          <w:r>
            <w:rPr>
              <w:sz w:val="24"/>
              <w:szCs w:val="24"/>
            </w:rPr>
            <w:tab/>
          </w:r>
          <w:r>
            <w:rPr>
              <w:sz w:val="24"/>
              <w:szCs w:val="24"/>
            </w:rPr>
            <w:fldChar w:fldCharType="begin"/>
          </w:r>
          <w:r>
            <w:rPr>
              <w:sz w:val="24"/>
              <w:szCs w:val="24"/>
            </w:rPr>
            <w:instrText xml:space="preserve"> PAGEREF _Toc20353 \h </w:instrText>
          </w:r>
          <w:r>
            <w:rPr>
              <w:sz w:val="24"/>
              <w:szCs w:val="24"/>
            </w:rPr>
            <w:fldChar w:fldCharType="separate"/>
          </w:r>
          <w:r>
            <w:rPr>
              <w:sz w:val="24"/>
              <w:szCs w:val="24"/>
            </w:rPr>
            <w:t>8</w:t>
          </w:r>
          <w:r>
            <w:rPr>
              <w:sz w:val="24"/>
              <w:szCs w:val="24"/>
            </w:rPr>
            <w:fldChar w:fldCharType="end"/>
          </w:r>
          <w:r>
            <w:rPr>
              <w:rFonts w:hint="eastAsia"/>
              <w:sz w:val="24"/>
              <w:szCs w:val="24"/>
              <w:lang w:val="en-US" w:eastAsia="zh-CN"/>
            </w:rPr>
            <w:fldChar w:fldCharType="end"/>
          </w:r>
        </w:p>
        <w:p>
          <w:pPr>
            <w:pStyle w:val="15"/>
            <w:tabs>
              <w:tab w:val="right" w:leader="dot" w:pos="8845"/>
            </w:tabs>
            <w:spacing w:line="300" w:lineRule="auto"/>
            <w:rPr>
              <w:b/>
              <w:sz w:val="24"/>
              <w:szCs w:val="24"/>
            </w:rPr>
          </w:pPr>
          <w:r>
            <w:rPr>
              <w:rFonts w:hint="eastAsia"/>
              <w:b/>
              <w:sz w:val="24"/>
              <w:szCs w:val="24"/>
              <w:lang w:val="en-US" w:eastAsia="zh-CN"/>
            </w:rPr>
            <w:fldChar w:fldCharType="begin"/>
          </w:r>
          <w:r>
            <w:rPr>
              <w:rFonts w:hint="eastAsia"/>
              <w:b/>
              <w:sz w:val="24"/>
              <w:szCs w:val="24"/>
              <w:lang w:val="en-US" w:eastAsia="zh-CN"/>
            </w:rPr>
            <w:instrText xml:space="preserve"> HYPERLINK \l _Toc18663 </w:instrText>
          </w:r>
          <w:r>
            <w:rPr>
              <w:rFonts w:hint="eastAsia"/>
              <w:b/>
              <w:sz w:val="24"/>
              <w:szCs w:val="24"/>
              <w:lang w:val="en-US" w:eastAsia="zh-CN"/>
            </w:rPr>
            <w:fldChar w:fldCharType="separate"/>
          </w:r>
          <w:r>
            <w:rPr>
              <w:rFonts w:hint="default" w:ascii="黑体" w:hAnsi="宋体" w:eastAsia="宋体" w:cs="黑体"/>
              <w:b/>
              <w:bCs/>
              <w:i w:val="0"/>
              <w:caps w:val="0"/>
              <w:spacing w:val="0"/>
              <w:kern w:val="0"/>
              <w:sz w:val="24"/>
              <w:szCs w:val="44"/>
              <w:shd w:val="clear" w:color="auto" w:fill="FFFFFF"/>
              <w:lang w:val="en-US" w:eastAsia="zh-CN" w:bidi="ar"/>
            </w:rPr>
            <w:t>十一、名词解释</w:t>
          </w:r>
          <w:r>
            <w:rPr>
              <w:b/>
              <w:sz w:val="24"/>
              <w:szCs w:val="24"/>
            </w:rPr>
            <w:tab/>
          </w:r>
          <w:r>
            <w:rPr>
              <w:b/>
              <w:sz w:val="24"/>
              <w:szCs w:val="24"/>
            </w:rPr>
            <w:fldChar w:fldCharType="begin"/>
          </w:r>
          <w:r>
            <w:rPr>
              <w:b/>
              <w:sz w:val="24"/>
              <w:szCs w:val="24"/>
            </w:rPr>
            <w:instrText xml:space="preserve"> PAGEREF _Toc18663 \h </w:instrText>
          </w:r>
          <w:r>
            <w:rPr>
              <w:b/>
              <w:sz w:val="24"/>
              <w:szCs w:val="24"/>
            </w:rPr>
            <w:fldChar w:fldCharType="separate"/>
          </w:r>
          <w:r>
            <w:rPr>
              <w:b/>
              <w:sz w:val="24"/>
              <w:szCs w:val="24"/>
            </w:rPr>
            <w:t>8</w:t>
          </w:r>
          <w:r>
            <w:rPr>
              <w:b/>
              <w:sz w:val="24"/>
              <w:szCs w:val="24"/>
            </w:rPr>
            <w:fldChar w:fldCharType="end"/>
          </w:r>
          <w:r>
            <w:rPr>
              <w:rFonts w:hint="eastAsia"/>
              <w:b/>
              <w:sz w:val="24"/>
              <w:szCs w:val="24"/>
              <w:lang w:val="en-US" w:eastAsia="zh-CN"/>
            </w:rPr>
            <w:fldChar w:fldCharType="end"/>
          </w:r>
        </w:p>
        <w:p>
          <w:pPr>
            <w:pStyle w:val="16"/>
            <w:tabs>
              <w:tab w:val="right" w:leader="dot" w:pos="8845"/>
            </w:tabs>
            <w:spacing w:line="300" w:lineRule="auto"/>
            <w:rPr>
              <w:sz w:val="24"/>
              <w:szCs w:val="24"/>
            </w:rPr>
          </w:pPr>
        </w:p>
        <w:p>
          <w:pPr>
            <w:pStyle w:val="15"/>
            <w:tabs>
              <w:tab w:val="right" w:leader="dot" w:pos="8845"/>
            </w:tabs>
            <w:spacing w:line="300" w:lineRule="auto"/>
            <w:rPr>
              <w:b/>
              <w:sz w:val="24"/>
              <w:szCs w:val="24"/>
            </w:rPr>
          </w:pPr>
        </w:p>
        <w:p>
          <w:pPr>
            <w:pStyle w:val="8"/>
            <w:spacing w:line="300" w:lineRule="auto"/>
            <w:rPr>
              <w:rFonts w:hint="eastAsia"/>
              <w:lang w:val="en-US" w:eastAsia="zh-CN"/>
            </w:rPr>
          </w:pPr>
          <w:r>
            <w:rPr>
              <w:rFonts w:hint="eastAsia"/>
              <w:b/>
              <w:sz w:val="28"/>
              <w:szCs w:val="36"/>
              <w:lang w:val="en-US" w:eastAsia="zh-CN"/>
            </w:rPr>
            <w:fldChar w:fldCharType="end"/>
          </w:r>
        </w:p>
      </w:sdtContent>
    </w:sdt>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rPr>
      </w:pPr>
      <w:bookmarkStart w:id="1" w:name="_Toc15248"/>
      <w:r>
        <w:rPr>
          <w:rFonts w:hint="eastAsia" w:ascii="仿宋_GB2312" w:hAnsi="仿宋_GB2312" w:eastAsia="仿宋_GB2312" w:cs="仿宋_GB2312"/>
          <w:b/>
          <w:bCs/>
          <w:sz w:val="32"/>
          <w:szCs w:val="32"/>
          <w:lang w:val="en-US" w:eastAsia="zh-CN"/>
        </w:rPr>
        <w:t>一、基本职能及主要工作</w:t>
      </w:r>
      <w:bookmarkEnd w:id="1"/>
    </w:p>
    <w:p>
      <w:pPr>
        <w:pStyle w:val="9"/>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themeFill="background1"/>
        <w:suppressAutoHyphens/>
        <w:kinsoku/>
        <w:wordWrap/>
        <w:overflowPunct/>
        <w:topLinePunct w:val="0"/>
        <w:autoSpaceDE/>
        <w:autoSpaceDN/>
        <w:bidi w:val="0"/>
        <w:adjustRightInd/>
        <w:snapToGrid/>
        <w:spacing w:beforeAutospacing="0" w:afterAutospacing="0" w:line="576" w:lineRule="exact"/>
        <w:ind w:right="0" w:rightChars="0" w:firstLine="320" w:firstLineChars="100"/>
        <w:jc w:val="both"/>
        <w:textAlignment w:val="auto"/>
        <w:outlineLvl w:val="1"/>
        <w:rPr>
          <w:rFonts w:hint="eastAsia" w:ascii="仿宋_GB2312" w:hAnsi="仿宋_GB2312" w:eastAsia="仿宋_GB2312" w:cs="仿宋_GB2312"/>
          <w:b/>
          <w:i w:val="0"/>
          <w:caps w:val="0"/>
          <w:color w:val="333333"/>
          <w:spacing w:val="0"/>
          <w:sz w:val="32"/>
          <w:szCs w:val="32"/>
          <w:shd w:val="clear" w:color="auto" w:fill="FFFFFF"/>
        </w:rPr>
      </w:pPr>
      <w:r>
        <w:rPr>
          <w:rFonts w:hint="eastAsia" w:ascii="仿宋_GB2312" w:hAnsi="仿宋_GB2312" w:eastAsia="仿宋_GB2312" w:cs="仿宋_GB2312"/>
          <w:b w:val="0"/>
          <w:bCs/>
          <w:i w:val="0"/>
          <w:caps w:val="0"/>
          <w:color w:val="333333"/>
          <w:spacing w:val="0"/>
          <w:sz w:val="32"/>
          <w:szCs w:val="32"/>
          <w:shd w:val="clear" w:color="auto" w:fill="FFFFFF"/>
          <w:lang w:val="en-US" w:eastAsia="zh-CN"/>
        </w:rPr>
        <w:t xml:space="preserve"> </w:t>
      </w:r>
      <w:bookmarkStart w:id="2" w:name="_Toc8647"/>
      <w:r>
        <w:rPr>
          <w:rFonts w:hint="eastAsia" w:ascii="仿宋_GB2312" w:hAnsi="仿宋_GB2312" w:eastAsia="仿宋_GB2312" w:cs="仿宋_GB2312"/>
          <w:b/>
          <w:i w:val="0"/>
          <w:caps w:val="0"/>
          <w:color w:val="333333"/>
          <w:spacing w:val="0"/>
          <w:sz w:val="32"/>
          <w:szCs w:val="32"/>
          <w:shd w:val="clear" w:color="auto" w:fill="FFFFFF"/>
        </w:rPr>
        <w:t>（一）</w:t>
      </w:r>
      <w:r>
        <w:rPr>
          <w:rFonts w:hint="eastAsia" w:ascii="仿宋_GB2312" w:hAnsi="仿宋_GB2312" w:eastAsia="仿宋_GB2312" w:cs="仿宋_GB2312"/>
          <w:b/>
          <w:i w:val="0"/>
          <w:caps w:val="0"/>
          <w:color w:val="333333"/>
          <w:spacing w:val="0"/>
          <w:sz w:val="32"/>
          <w:szCs w:val="32"/>
          <w:shd w:val="clear" w:color="auto" w:fill="FFFFFF"/>
          <w:lang w:val="en-US" w:eastAsia="zh-CN"/>
        </w:rPr>
        <w:t>市军休所</w:t>
      </w:r>
      <w:r>
        <w:rPr>
          <w:rFonts w:hint="eastAsia" w:ascii="仿宋_GB2312" w:hAnsi="仿宋_GB2312" w:eastAsia="仿宋_GB2312" w:cs="仿宋_GB2312"/>
          <w:b/>
          <w:i w:val="0"/>
          <w:caps w:val="0"/>
          <w:color w:val="333333"/>
          <w:spacing w:val="0"/>
          <w:sz w:val="32"/>
          <w:szCs w:val="32"/>
          <w:shd w:val="clear" w:color="auto" w:fill="FFFFFF"/>
        </w:rPr>
        <w:t>职能简介</w:t>
      </w:r>
      <w:bookmarkEnd w:id="2"/>
    </w:p>
    <w:p>
      <w:pPr>
        <w:pStyle w:val="4"/>
        <w:keepNext w:val="0"/>
        <w:keepLines w:val="0"/>
        <w:pageBreakBefore w:val="0"/>
        <w:pBdr>
          <w:top w:val="none" w:color="auto" w:sz="0" w:space="1"/>
          <w:left w:val="none" w:color="auto" w:sz="0" w:space="4"/>
          <w:bottom w:val="none" w:color="auto" w:sz="0" w:space="1"/>
          <w:right w:val="none" w:color="auto" w:sz="0" w:space="4"/>
          <w:between w:val="none" w:color="auto" w:sz="0" w:space="0"/>
        </w:pBdr>
        <w:shd w:val="clear" w:color="auto" w:fill="FFFFFF" w:themeFill="background1"/>
        <w:suppressAutoHyphens/>
        <w:kinsoku/>
        <w:wordWrap/>
        <w:overflowPunct/>
        <w:topLinePunct w:val="0"/>
        <w:autoSpaceDE/>
        <w:autoSpaceDN/>
        <w:bidi w:val="0"/>
        <w:adjustRightInd w:val="0"/>
        <w:snapToGrid w:val="0"/>
        <w:spacing w:before="0" w:after="0" w:line="576" w:lineRule="exact"/>
        <w:ind w:firstLine="672" w:firstLineChars="210"/>
        <w:jc w:val="both"/>
        <w:textAlignment w:val="auto"/>
        <w:outlineLvl w:val="2"/>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坚持政治关心、生活照顾、服务为先、依法管理的原则，按照国家有关政策规定，落实军休人员政治待遇、生活待遇，维护军休人员合法权益，做好相关保障工作，实现军休人员“老有所养、老有所医、老有所教、老有所学、老有所为、老有所乐”的目标。</w:t>
      </w:r>
      <w:r>
        <w:rPr>
          <w:rFonts w:hint="eastAsia" w:ascii="仿宋_GB2312" w:hAnsi="仿宋_GB2312" w:eastAsia="仿宋_GB2312" w:cs="仿宋_GB2312"/>
          <w:color w:val="000000"/>
          <w:sz w:val="32"/>
          <w:szCs w:val="32"/>
          <w:lang w:val="en-US" w:eastAsia="zh-CN"/>
        </w:rPr>
        <w:t xml:space="preserve">  </w:t>
      </w:r>
    </w:p>
    <w:p>
      <w:pPr>
        <w:pStyle w:val="4"/>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color="auto" w:fill="FFFFFF" w:themeFill="background1"/>
        <w:suppressAutoHyphens/>
        <w:kinsoku/>
        <w:wordWrap/>
        <w:overflowPunct/>
        <w:topLinePunct w:val="0"/>
        <w:autoSpaceDE/>
        <w:autoSpaceDN/>
        <w:bidi w:val="0"/>
        <w:adjustRightInd w:val="0"/>
        <w:snapToGrid w:val="0"/>
        <w:spacing w:before="0" w:after="0" w:line="576" w:lineRule="exact"/>
        <w:ind w:firstLine="672" w:firstLineChars="210"/>
        <w:jc w:val="both"/>
        <w:textAlignment w:val="auto"/>
        <w:outlineLvl w:val="1"/>
        <w:rPr>
          <w:rFonts w:hint="eastAsia" w:ascii="仿宋_GB2312" w:hAnsi="仿宋_GB2312" w:eastAsia="仿宋_GB2312" w:cs="仿宋_GB2312"/>
          <w:b/>
          <w:i w:val="0"/>
          <w:caps w:val="0"/>
          <w:color w:val="333333"/>
          <w:spacing w:val="0"/>
          <w:sz w:val="32"/>
          <w:szCs w:val="32"/>
          <w:shd w:val="clear" w:color="auto" w:fill="FFFFFF"/>
        </w:rPr>
      </w:pPr>
      <w:bookmarkStart w:id="3" w:name="_Toc16494"/>
      <w:r>
        <w:rPr>
          <w:rFonts w:hint="eastAsia" w:ascii="仿宋_GB2312" w:hAnsi="仿宋_GB2312" w:eastAsia="仿宋_GB2312" w:cs="仿宋_GB2312"/>
          <w:sz w:val="32"/>
          <w:szCs w:val="32"/>
        </w:rPr>
        <w:t>（二）</w:t>
      </w:r>
      <w:r>
        <w:rPr>
          <w:rFonts w:hint="eastAsia" w:ascii="仿宋_GB2312" w:hAnsi="仿宋_GB2312" w:eastAsia="仿宋_GB2312" w:cs="仿宋_GB2312"/>
          <w:b/>
          <w:i w:val="0"/>
          <w:caps w:val="0"/>
          <w:color w:val="333333"/>
          <w:spacing w:val="0"/>
          <w:sz w:val="32"/>
          <w:szCs w:val="32"/>
          <w:shd w:val="clear" w:color="auto" w:fill="FFFFFF"/>
          <w:lang w:eastAsia="zh-CN"/>
        </w:rPr>
        <w:t>市军休所</w:t>
      </w:r>
      <w:r>
        <w:rPr>
          <w:rFonts w:hint="eastAsia" w:ascii="仿宋_GB2312" w:hAnsi="仿宋_GB2312" w:eastAsia="仿宋_GB2312" w:cs="仿宋_GB2312"/>
          <w:b/>
          <w:i w:val="0"/>
          <w:caps w:val="0"/>
          <w:color w:val="333333"/>
          <w:spacing w:val="0"/>
          <w:sz w:val="32"/>
          <w:szCs w:val="32"/>
          <w:shd w:val="clear" w:color="auto" w:fill="FFFFFF"/>
        </w:rPr>
        <w:t>202</w:t>
      </w:r>
      <w:r>
        <w:rPr>
          <w:rFonts w:hint="eastAsia" w:ascii="仿宋_GB2312" w:hAnsi="仿宋_GB2312" w:eastAsia="仿宋_GB2312" w:cs="仿宋_GB2312"/>
          <w:b/>
          <w:i w:val="0"/>
          <w:caps w:val="0"/>
          <w:color w:val="333333"/>
          <w:spacing w:val="0"/>
          <w:sz w:val="32"/>
          <w:szCs w:val="32"/>
          <w:shd w:val="clear" w:color="auto" w:fill="FFFFFF"/>
          <w:lang w:val="en-US" w:eastAsia="zh-CN"/>
        </w:rPr>
        <w:t>4</w:t>
      </w:r>
      <w:r>
        <w:rPr>
          <w:rFonts w:hint="eastAsia" w:ascii="仿宋_GB2312" w:hAnsi="仿宋_GB2312" w:eastAsia="仿宋_GB2312" w:cs="仿宋_GB2312"/>
          <w:b/>
          <w:i w:val="0"/>
          <w:caps w:val="0"/>
          <w:color w:val="333333"/>
          <w:spacing w:val="0"/>
          <w:sz w:val="32"/>
          <w:szCs w:val="32"/>
          <w:shd w:val="clear" w:color="auto" w:fill="FFFFFF"/>
        </w:rPr>
        <w:t>年重点工作</w:t>
      </w:r>
      <w:bookmarkEnd w:id="3"/>
    </w:p>
    <w:p>
      <w:pPr>
        <w:pStyle w:val="8"/>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spacing w:line="576" w:lineRule="exact"/>
        <w:ind w:firstLine="642" w:firstLineChars="200"/>
        <w:jc w:val="both"/>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lang w:eastAsia="zh-CN"/>
        </w:rPr>
        <w:t>始终聚焦军休服务，努力提升干部职工素质。</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牢固树立军休干部（士官）对美好休养生活的向往就是我们工作目标的思想</w:t>
      </w:r>
      <w:r>
        <w:rPr>
          <w:rFonts w:hint="eastAsia" w:ascii="仿宋_GB2312" w:hAnsi="仿宋_GB2312" w:eastAsia="仿宋_GB2312" w:cs="仿宋_GB2312"/>
          <w:sz w:val="32"/>
          <w:szCs w:val="32"/>
          <w:lang w:eastAsia="zh-CN"/>
        </w:rPr>
        <w:t>，结合实际，采取措施，不断提升干部、职工队伍的整体素质。</w:t>
      </w:r>
      <w:r>
        <w:rPr>
          <w:rFonts w:hint="eastAsia" w:ascii="仿宋_GB2312" w:hAnsi="仿宋_GB2312" w:eastAsia="仿宋_GB2312" w:cs="仿宋_GB2312"/>
          <w:sz w:val="32"/>
          <w:szCs w:val="32"/>
          <w:lang w:val="en-US" w:eastAsia="zh-CN"/>
        </w:rPr>
        <w:t>建立完善基本学习制度，明确规定每次召开干部职工大会前先选学军休服务管理工作职责和法规制度，落实每周一次自学、每月一次集中学习、每季度一次专题讲座等规定。</w:t>
      </w:r>
      <w:r>
        <w:rPr>
          <w:rFonts w:hint="eastAsia" w:ascii="仿宋_GB2312" w:hAnsi="仿宋_GB2312" w:eastAsia="仿宋_GB2312" w:cs="仿宋_GB2312"/>
          <w:sz w:val="32"/>
          <w:szCs w:val="32"/>
        </w:rPr>
        <w:t>经常</w:t>
      </w:r>
      <w:r>
        <w:rPr>
          <w:rFonts w:hint="eastAsia" w:ascii="仿宋_GB2312" w:hAnsi="仿宋_GB2312" w:eastAsia="仿宋_GB2312" w:cs="仿宋_GB2312"/>
          <w:sz w:val="32"/>
          <w:szCs w:val="32"/>
          <w:lang w:eastAsia="zh-CN"/>
        </w:rPr>
        <w:t>组织学习习近平总书记关于做好军休服务保障工作的</w:t>
      </w:r>
      <w:r>
        <w:rPr>
          <w:rFonts w:hint="eastAsia" w:ascii="仿宋_GB2312" w:hAnsi="仿宋_GB2312" w:eastAsia="仿宋_GB2312" w:cs="仿宋_GB2312"/>
          <w:sz w:val="32"/>
          <w:szCs w:val="32"/>
        </w:rPr>
        <w:t>系列重要指示，</w:t>
      </w:r>
      <w:r>
        <w:rPr>
          <w:rFonts w:hint="eastAsia" w:ascii="仿宋_GB2312" w:hAnsi="仿宋_GB2312" w:eastAsia="仿宋_GB2312" w:cs="仿宋_GB2312"/>
          <w:sz w:val="32"/>
          <w:szCs w:val="32"/>
          <w:lang w:eastAsia="zh-CN"/>
        </w:rPr>
        <w:t>引导</w:t>
      </w:r>
      <w:r>
        <w:rPr>
          <w:rFonts w:hint="eastAsia" w:ascii="仿宋_GB2312" w:hAnsi="仿宋_GB2312" w:eastAsia="仿宋_GB2312" w:cs="仿宋_GB2312"/>
          <w:sz w:val="32"/>
          <w:szCs w:val="32"/>
        </w:rPr>
        <w:t>干部职工</w:t>
      </w:r>
      <w:r>
        <w:rPr>
          <w:rFonts w:hint="eastAsia" w:ascii="仿宋_GB2312" w:hAnsi="仿宋_GB2312" w:eastAsia="仿宋_GB2312" w:cs="仿宋_GB2312"/>
          <w:sz w:val="32"/>
          <w:szCs w:val="32"/>
          <w:lang w:eastAsia="zh-CN"/>
        </w:rPr>
        <w:t>充分</w:t>
      </w:r>
      <w:r>
        <w:rPr>
          <w:rFonts w:hint="eastAsia" w:ascii="仿宋_GB2312" w:hAnsi="仿宋_GB2312" w:eastAsia="仿宋_GB2312" w:cs="仿宋_GB2312"/>
          <w:sz w:val="32"/>
          <w:szCs w:val="32"/>
        </w:rPr>
        <w:t>认识</w:t>
      </w:r>
      <w:r>
        <w:rPr>
          <w:rFonts w:hint="eastAsia" w:ascii="仿宋_GB2312" w:hAnsi="仿宋_GB2312" w:eastAsia="仿宋_GB2312" w:cs="仿宋_GB2312"/>
          <w:sz w:val="32"/>
          <w:szCs w:val="32"/>
          <w:lang w:eastAsia="zh-CN"/>
        </w:rPr>
        <w:t>做好军休标准化服务管理、落实</w:t>
      </w:r>
      <w:r>
        <w:rPr>
          <w:rFonts w:hint="eastAsia" w:ascii="仿宋_GB2312" w:hAnsi="仿宋_GB2312" w:eastAsia="仿宋_GB2312" w:cs="仿宋_GB2312"/>
          <w:sz w:val="32"/>
          <w:szCs w:val="32"/>
        </w:rPr>
        <w:t>军休服务</w:t>
      </w:r>
      <w:r>
        <w:rPr>
          <w:rFonts w:hint="eastAsia" w:ascii="仿宋_GB2312" w:hAnsi="仿宋_GB2312" w:eastAsia="仿宋_GB2312" w:cs="仿宋_GB2312"/>
          <w:sz w:val="32"/>
          <w:szCs w:val="32"/>
          <w:lang w:eastAsia="zh-CN"/>
        </w:rPr>
        <w:t>保障和“两个待遇”</w:t>
      </w:r>
      <w:r>
        <w:rPr>
          <w:rFonts w:hint="eastAsia" w:ascii="仿宋_GB2312" w:hAnsi="仿宋_GB2312" w:eastAsia="仿宋_GB2312" w:cs="仿宋_GB2312"/>
          <w:sz w:val="32"/>
          <w:szCs w:val="32"/>
        </w:rPr>
        <w:t>的重要意义</w:t>
      </w:r>
      <w:r>
        <w:rPr>
          <w:rFonts w:hint="eastAsia" w:ascii="仿宋_GB2312" w:hAnsi="仿宋_GB2312" w:eastAsia="仿宋_GB2312" w:cs="仿宋_GB2312"/>
          <w:sz w:val="32"/>
          <w:szCs w:val="32"/>
          <w:lang w:eastAsia="zh-CN"/>
        </w:rPr>
        <w:t>，进一步</w:t>
      </w:r>
      <w:r>
        <w:rPr>
          <w:rFonts w:hint="eastAsia" w:ascii="仿宋_GB2312" w:hAnsi="仿宋_GB2312" w:eastAsia="仿宋_GB2312" w:cs="仿宋_GB2312"/>
          <w:sz w:val="32"/>
          <w:szCs w:val="32"/>
        </w:rPr>
        <w:t>端正工作态度，强化服务意识，热爱军休事业</w:t>
      </w:r>
      <w:r>
        <w:rPr>
          <w:rFonts w:hint="eastAsia" w:ascii="仿宋_GB2312" w:hAnsi="仿宋_GB2312" w:eastAsia="仿宋_GB2312" w:cs="仿宋_GB2312"/>
          <w:sz w:val="32"/>
          <w:szCs w:val="32"/>
          <w:lang w:eastAsia="zh-CN"/>
        </w:rPr>
        <w:t>。</w:t>
      </w:r>
    </w:p>
    <w:p>
      <w:pPr>
        <w:keepNext w:val="0"/>
        <w:keepLines w:val="0"/>
        <w:pageBreakBefore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spacing w:line="576" w:lineRule="exact"/>
        <w:ind w:firstLine="642" w:firstLineChars="200"/>
        <w:jc w:val="both"/>
        <w:textAlignment w:val="auto"/>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val="en-US" w:eastAsia="zh-CN"/>
        </w:rPr>
        <w:t>2、</w:t>
      </w:r>
      <w:r>
        <w:rPr>
          <w:rFonts w:hint="eastAsia" w:ascii="仿宋_GB2312" w:hAnsi="仿宋_GB2312" w:eastAsia="仿宋_GB2312" w:cs="仿宋_GB2312"/>
          <w:b/>
          <w:bCs w:val="0"/>
          <w:sz w:val="32"/>
          <w:szCs w:val="32"/>
        </w:rPr>
        <w:t>认真落实“两个待遇”，服务</w:t>
      </w:r>
      <w:r>
        <w:rPr>
          <w:rFonts w:hint="eastAsia" w:ascii="仿宋_GB2312" w:hAnsi="仿宋_GB2312" w:eastAsia="仿宋_GB2312" w:cs="仿宋_GB2312"/>
          <w:b/>
          <w:bCs w:val="0"/>
          <w:sz w:val="32"/>
          <w:szCs w:val="32"/>
          <w:lang w:eastAsia="zh-CN"/>
        </w:rPr>
        <w:t>管理</w:t>
      </w:r>
      <w:r>
        <w:rPr>
          <w:rFonts w:hint="eastAsia" w:ascii="仿宋_GB2312" w:hAnsi="仿宋_GB2312" w:eastAsia="仿宋_GB2312" w:cs="仿宋_GB2312"/>
          <w:b/>
          <w:bCs w:val="0"/>
          <w:sz w:val="32"/>
          <w:szCs w:val="32"/>
        </w:rPr>
        <w:t>水平</w:t>
      </w:r>
      <w:r>
        <w:rPr>
          <w:rFonts w:hint="eastAsia" w:ascii="仿宋_GB2312" w:hAnsi="仿宋_GB2312" w:eastAsia="仿宋_GB2312" w:cs="仿宋_GB2312"/>
          <w:b/>
          <w:bCs w:val="0"/>
          <w:sz w:val="32"/>
          <w:szCs w:val="32"/>
          <w:lang w:eastAsia="zh-CN"/>
        </w:rPr>
        <w:t>明显</w:t>
      </w:r>
      <w:r>
        <w:rPr>
          <w:rFonts w:hint="eastAsia" w:ascii="仿宋_GB2312" w:hAnsi="仿宋_GB2312" w:eastAsia="仿宋_GB2312" w:cs="仿宋_GB2312"/>
          <w:b/>
          <w:bCs w:val="0"/>
          <w:sz w:val="32"/>
          <w:szCs w:val="32"/>
        </w:rPr>
        <w:t>提升</w:t>
      </w:r>
      <w:r>
        <w:rPr>
          <w:rFonts w:hint="eastAsia" w:ascii="仿宋_GB2312" w:hAnsi="仿宋_GB2312" w:eastAsia="仿宋_GB2312" w:cs="仿宋_GB2312"/>
          <w:b/>
          <w:bCs w:val="0"/>
          <w:sz w:val="32"/>
          <w:szCs w:val="32"/>
          <w:lang w:eastAsia="zh-CN"/>
        </w:rPr>
        <w:t>。</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color w:val="000000"/>
          <w:sz w:val="32"/>
          <w:szCs w:val="32"/>
          <w:shd w:val="clear" w:color="auto" w:fill="FFFFFF"/>
          <w:lang w:val="en-US" w:eastAsia="zh-CN"/>
        </w:rPr>
      </w:pPr>
      <w:r>
        <w:rPr>
          <w:rFonts w:hint="eastAsia" w:ascii="仿宋_GB2312" w:hAnsi="仿宋_GB2312" w:eastAsia="仿宋_GB2312" w:cs="仿宋_GB2312"/>
          <w:sz w:val="32"/>
          <w:szCs w:val="32"/>
        </w:rPr>
        <w:t>认真组织军休干部（士官）</w:t>
      </w:r>
      <w:r>
        <w:rPr>
          <w:rFonts w:hint="eastAsia" w:ascii="仿宋_GB2312" w:hAnsi="仿宋_GB2312" w:eastAsia="仿宋_GB2312" w:cs="仿宋_GB2312"/>
          <w:sz w:val="32"/>
          <w:szCs w:val="32"/>
          <w:lang w:eastAsia="zh-CN"/>
        </w:rPr>
        <w:t>参加</w:t>
      </w:r>
      <w:r>
        <w:rPr>
          <w:rFonts w:hint="eastAsia" w:ascii="仿宋_GB2312" w:hAnsi="仿宋_GB2312" w:eastAsia="仿宋_GB2312" w:cs="仿宋_GB2312"/>
          <w:sz w:val="32"/>
          <w:szCs w:val="32"/>
        </w:rPr>
        <w:t>政治理论学习，及时传达党和国家重大方针政策和相关文件精神</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严格落实组织生活制度</w:t>
      </w:r>
      <w:r>
        <w:rPr>
          <w:rFonts w:hint="eastAsia" w:ascii="仿宋_GB2312" w:hAnsi="仿宋_GB2312" w:eastAsia="仿宋_GB2312" w:cs="仿宋_GB2312"/>
          <w:sz w:val="32"/>
          <w:szCs w:val="32"/>
          <w:lang w:eastAsia="zh-CN"/>
        </w:rPr>
        <w:t>，不断完善</w:t>
      </w:r>
      <w:r>
        <w:rPr>
          <w:rFonts w:hint="eastAsia" w:ascii="仿宋_GB2312" w:hAnsi="仿宋_GB2312" w:eastAsia="仿宋_GB2312" w:cs="仿宋_GB2312"/>
          <w:sz w:val="32"/>
          <w:szCs w:val="32"/>
        </w:rPr>
        <w:t>军休干部（士官）管理委员会建设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shd w:val="clear" w:color="auto" w:fill="FFFFFF"/>
          <w:lang w:val="en-US" w:eastAsia="zh-CN"/>
        </w:rPr>
        <w:t>主动协调和严密组织军休干部（士官）参加地方党委、政府和军队举办的重大庆典和重大政治活动的服务保障工作。</w:t>
      </w:r>
    </w:p>
    <w:p>
      <w:pPr>
        <w:keepNext w:val="0"/>
        <w:keepLines w:val="0"/>
        <w:pageBreakBefore w:val="0"/>
        <w:numPr>
          <w:ilvl w:val="0"/>
          <w:numId w:val="1"/>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spacing w:line="576" w:lineRule="exact"/>
        <w:ind w:firstLine="642" w:firstLineChars="200"/>
        <w:jc w:val="both"/>
        <w:textAlignment w:val="auto"/>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rPr>
        <w:t>统筹协调抓好落实，</w:t>
      </w:r>
      <w:r>
        <w:rPr>
          <w:rFonts w:hint="eastAsia" w:ascii="仿宋_GB2312" w:hAnsi="仿宋_GB2312" w:eastAsia="仿宋_GB2312" w:cs="仿宋_GB2312"/>
          <w:b/>
          <w:bCs w:val="0"/>
          <w:sz w:val="32"/>
          <w:szCs w:val="32"/>
          <w:lang w:eastAsia="zh-CN"/>
        </w:rPr>
        <w:t>其它各项工作取得实效。</w:t>
      </w:r>
    </w:p>
    <w:p>
      <w:pPr>
        <w:pStyle w:val="8"/>
        <w:keepNext w:val="0"/>
        <w:keepLines w:val="0"/>
        <w:pageBreakBefore w:val="0"/>
        <w:numPr>
          <w:ilvl w:val="0"/>
          <w:numId w:val="0"/>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spacing w:line="576" w:lineRule="exact"/>
        <w:ind w:leftChars="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坚决落实市局</w:t>
      </w:r>
      <w:r>
        <w:rPr>
          <w:rFonts w:hint="eastAsia" w:ascii="仿宋_GB2312" w:hAnsi="仿宋_GB2312" w:eastAsia="仿宋_GB2312" w:cs="仿宋_GB2312"/>
          <w:sz w:val="32"/>
          <w:szCs w:val="32"/>
          <w:lang w:eastAsia="zh-CN"/>
        </w:rPr>
        <w:t>党组和市局机关党委的</w:t>
      </w:r>
      <w:r>
        <w:rPr>
          <w:rFonts w:hint="eastAsia" w:ascii="仿宋_GB2312" w:hAnsi="仿宋_GB2312" w:eastAsia="仿宋_GB2312" w:cs="仿宋_GB2312"/>
          <w:sz w:val="32"/>
          <w:szCs w:val="32"/>
        </w:rPr>
        <w:t>工作安排，牢固树立大局观念，积极</w:t>
      </w:r>
      <w:r>
        <w:rPr>
          <w:rFonts w:hint="eastAsia" w:ascii="仿宋_GB2312" w:hAnsi="仿宋_GB2312" w:eastAsia="仿宋_GB2312" w:cs="仿宋_GB2312"/>
          <w:sz w:val="32"/>
          <w:szCs w:val="32"/>
          <w:lang w:eastAsia="zh-CN"/>
        </w:rPr>
        <w:t>做</w:t>
      </w:r>
      <w:r>
        <w:rPr>
          <w:rFonts w:hint="eastAsia" w:ascii="仿宋_GB2312" w:hAnsi="仿宋_GB2312" w:eastAsia="仿宋_GB2312" w:cs="仿宋_GB2312"/>
          <w:sz w:val="32"/>
          <w:szCs w:val="32"/>
        </w:rPr>
        <w:t>乡村振兴、社区“双报到”、文明城市创建、禁毒、森林防火、安全工作等阶段性重点工作。</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lang w:val="en-US" w:eastAsia="zh-CN"/>
        </w:rPr>
      </w:pPr>
      <w:bookmarkStart w:id="4" w:name="_Toc19017"/>
      <w:r>
        <w:rPr>
          <w:rFonts w:hint="eastAsia" w:ascii="仿宋_GB2312" w:hAnsi="仿宋_GB2312" w:eastAsia="仿宋_GB2312" w:cs="仿宋_GB2312"/>
          <w:b/>
          <w:bCs/>
          <w:sz w:val="32"/>
          <w:szCs w:val="32"/>
          <w:lang w:val="en-US" w:eastAsia="zh-CN"/>
        </w:rPr>
        <w:t>二、部门预算单位构成</w:t>
      </w:r>
      <w:bookmarkEnd w:id="4"/>
    </w:p>
    <w:p>
      <w:pPr>
        <w:keepNext w:val="0"/>
        <w:keepLines w:val="0"/>
        <w:pageBreakBefore w:val="0"/>
        <w:widowControl/>
        <w:numPr>
          <w:ilvl w:val="0"/>
          <w:numId w:val="0"/>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themeFill="background1"/>
        <w:suppressAutoHyphens/>
        <w:kinsoku/>
        <w:wordWrap/>
        <w:overflowPunct/>
        <w:topLinePunct w:val="0"/>
        <w:autoSpaceDE/>
        <w:autoSpaceDN/>
        <w:bidi w:val="0"/>
        <w:spacing w:beforeAutospacing="0" w:afterAutospacing="0" w:line="576" w:lineRule="exact"/>
        <w:ind w:left="0" w:leftChars="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我单位为</w:t>
      </w:r>
      <w:r>
        <w:rPr>
          <w:rFonts w:hint="eastAsia" w:ascii="仿宋_GB2312" w:hAnsi="仿宋_GB2312" w:eastAsia="仿宋_GB2312" w:cs="仿宋_GB2312"/>
          <w:sz w:val="32"/>
          <w:szCs w:val="32"/>
        </w:rPr>
        <w:t>市退役军人事务局下属</w:t>
      </w:r>
      <w:r>
        <w:rPr>
          <w:rFonts w:hint="eastAsia" w:ascii="仿宋_GB2312" w:hAnsi="仿宋_GB2312" w:eastAsia="仿宋_GB2312" w:cs="仿宋_GB2312"/>
          <w:sz w:val="32"/>
          <w:szCs w:val="32"/>
          <w:lang w:val="en-US" w:eastAsia="zh-CN"/>
        </w:rPr>
        <w:t>二级预算</w:t>
      </w:r>
      <w:r>
        <w:rPr>
          <w:rFonts w:hint="eastAsia" w:ascii="仿宋_GB2312" w:hAnsi="仿宋_GB2312" w:eastAsia="仿宋_GB2312" w:cs="仿宋_GB2312"/>
          <w:sz w:val="32"/>
          <w:szCs w:val="32"/>
        </w:rPr>
        <w:t>单位，</w:t>
      </w:r>
      <w:r>
        <w:rPr>
          <w:rFonts w:hint="eastAsia" w:ascii="仿宋_GB2312" w:hAnsi="仿宋_GB2312" w:eastAsia="仿宋_GB2312" w:cs="仿宋_GB2312"/>
          <w:sz w:val="32"/>
          <w:szCs w:val="32"/>
          <w:lang w:val="en-US" w:eastAsia="zh-CN"/>
        </w:rPr>
        <w:t>本单位无下属机构</w:t>
      </w:r>
      <w:r>
        <w:rPr>
          <w:rFonts w:hint="eastAsia" w:ascii="仿宋_GB2312" w:hAnsi="仿宋_GB2312" w:eastAsia="仿宋_GB2312" w:cs="仿宋_GB2312"/>
          <w:sz w:val="32"/>
          <w:szCs w:val="32"/>
        </w:rPr>
        <w:t>。2010年8月成立了党委，下设有3个军休支部和1个职工支部，建有军休干部管理委员会和职工工会。</w:t>
      </w:r>
    </w:p>
    <w:p>
      <w:pPr>
        <w:keepNext w:val="0"/>
        <w:keepLines w:val="0"/>
        <w:pageBreakBefore w:val="0"/>
        <w:widowControl/>
        <w:numPr>
          <w:ilvl w:val="0"/>
          <w:numId w:val="2"/>
        </w:numPr>
        <w:suppressLineNumbers w:val="0"/>
        <w:pBdr>
          <w:top w:val="none" w:color="auto" w:sz="0" w:space="1"/>
          <w:left w:val="none" w:color="auto" w:sz="0" w:space="4"/>
          <w:bottom w:val="none" w:color="auto" w:sz="0" w:space="1"/>
          <w:right w:val="none" w:color="auto" w:sz="0" w:space="4"/>
          <w:between w:val="none" w:color="auto" w:sz="0" w:space="0"/>
        </w:pBdr>
        <w:shd w:val="clear" w:color="auto" w:fill="FFFFFF" w:themeFill="background1"/>
        <w:suppressAutoHyphens/>
        <w:kinsoku/>
        <w:wordWrap/>
        <w:overflowPunct/>
        <w:topLinePunct w:val="0"/>
        <w:autoSpaceDE/>
        <w:autoSpaceDN/>
        <w:bidi w:val="0"/>
        <w:adjustRightInd/>
        <w:snapToGrid/>
        <w:spacing w:beforeAutospacing="0" w:afterAutospacing="0" w:line="576" w:lineRule="exact"/>
        <w:ind w:right="0" w:rightChars="0" w:firstLine="642" w:firstLineChars="200"/>
        <w:jc w:val="both"/>
        <w:textAlignment w:val="auto"/>
        <w:outlineLvl w:val="0"/>
        <w:rPr>
          <w:rFonts w:hint="eastAsia" w:ascii="仿宋_GB2312" w:hAnsi="仿宋_GB2312" w:eastAsia="仿宋_GB2312" w:cs="仿宋_GB2312"/>
          <w:b/>
          <w:bCs/>
          <w:sz w:val="32"/>
          <w:szCs w:val="32"/>
          <w:lang w:val="en-US" w:eastAsia="zh-CN"/>
        </w:rPr>
      </w:pPr>
      <w:bookmarkStart w:id="5" w:name="_Toc11831"/>
      <w:r>
        <w:rPr>
          <w:rFonts w:hint="eastAsia" w:ascii="仿宋_GB2312" w:hAnsi="仿宋_GB2312" w:eastAsia="仿宋_GB2312" w:cs="仿宋_GB2312"/>
          <w:b/>
          <w:bCs/>
          <w:sz w:val="32"/>
          <w:szCs w:val="32"/>
          <w:lang w:val="en-US" w:eastAsia="zh-CN"/>
        </w:rPr>
        <w:t>收支预算情况说明</w:t>
      </w:r>
      <w:bookmarkEnd w:id="5"/>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市军休所所有收入和支出均纳入部门预算管理。收入包括：一般公共预算拨款收入。支出包括：社会保障和就业支出、卫生健康支出、住房保障支出。市军休所单位2024年收支预算总数354.8万元,比2023年收支预算总数减少0.69万元，主要原因是退休一人，工资及公用经费减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bookmarkStart w:id="6" w:name="_Toc9501"/>
      <w:r>
        <w:rPr>
          <w:rFonts w:hint="eastAsia" w:ascii="仿宋_GB2312" w:hAnsi="仿宋_GB2312" w:eastAsia="仿宋_GB2312" w:cs="仿宋_GB2312"/>
          <w:sz w:val="32"/>
          <w:szCs w:val="32"/>
          <w:lang w:val="en-US" w:eastAsia="zh-CN"/>
        </w:rPr>
        <w:t>（一）收入预算情况</w:t>
      </w:r>
      <w:bookmarkEnd w:id="6"/>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市军休所2024年收入预算354.8万元，一般公共预算拨款收入354.8万元，占100%。</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7" w:name="_Toc8906"/>
      <w:r>
        <w:rPr>
          <w:rFonts w:hint="eastAsia" w:ascii="仿宋_GB2312" w:hAnsi="仿宋_GB2312" w:eastAsia="仿宋_GB2312" w:cs="仿宋_GB2312"/>
          <w:sz w:val="32"/>
          <w:szCs w:val="32"/>
          <w:lang w:val="en-US" w:eastAsia="zh-CN"/>
        </w:rPr>
        <w:t>（二）支出预算情况</w:t>
      </w:r>
      <w:bookmarkEnd w:id="7"/>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市军休所2024年支出预算354.8万元，其中：基本支出341.42万元，占96.23%；项目支出13.38万元，占3.77%</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rPr>
      </w:pPr>
      <w:bookmarkStart w:id="8" w:name="_Toc25425"/>
      <w:r>
        <w:rPr>
          <w:rFonts w:hint="eastAsia" w:ascii="仿宋_GB2312" w:hAnsi="仿宋_GB2312" w:eastAsia="仿宋_GB2312" w:cs="仿宋_GB2312"/>
          <w:b/>
          <w:bCs/>
          <w:sz w:val="32"/>
          <w:szCs w:val="32"/>
          <w:lang w:val="en-US" w:eastAsia="zh-CN"/>
        </w:rPr>
        <w:t>四、财政拨款收支预算情况说明</w:t>
      </w:r>
      <w:bookmarkEnd w:id="8"/>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市军休所2024年财政拨款收支预算总数354.8万元,比2023年财政拨款收支预算总数减少0.69万元，主要原因是退休一人，工资及公用经费减少。</w:t>
      </w:r>
      <w:bookmarkStart w:id="35" w:name="_GoBack"/>
      <w:bookmarkEnd w:id="35"/>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收入包括：本年一般公共预算拨款收入354.8万元；支出包括：社会保障和就业支出323.2万元、卫生健康支出8.74万元、住房保障支出22.86万元。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lang w:val="en-US" w:eastAsia="zh-CN"/>
        </w:rPr>
      </w:pPr>
      <w:bookmarkStart w:id="9" w:name="_Toc4864"/>
      <w:r>
        <w:rPr>
          <w:rFonts w:hint="eastAsia" w:ascii="仿宋_GB2312" w:hAnsi="仿宋_GB2312" w:eastAsia="仿宋_GB2312" w:cs="仿宋_GB2312"/>
          <w:b/>
          <w:bCs/>
          <w:sz w:val="32"/>
          <w:szCs w:val="32"/>
          <w:lang w:val="en-US" w:eastAsia="zh-CN"/>
        </w:rPr>
        <w:t>五、一般公共预算当年拨款情况说明</w:t>
      </w:r>
      <w:bookmarkEnd w:id="9"/>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10" w:name="_Toc5721"/>
      <w:r>
        <w:rPr>
          <w:rFonts w:hint="eastAsia" w:ascii="仿宋_GB2312" w:hAnsi="仿宋_GB2312" w:eastAsia="仿宋_GB2312" w:cs="仿宋_GB2312"/>
          <w:sz w:val="32"/>
          <w:szCs w:val="32"/>
          <w:lang w:val="en-US" w:eastAsia="zh-CN"/>
        </w:rPr>
        <w:t>（一）一般公共预算当年拨款规模变化情况</w:t>
      </w:r>
      <w:bookmarkEnd w:id="10"/>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市军休所2024年一般公共预算当年拨款354.8万元，比2023年预算数减少0.69万元，主要原因是退休一人，工资及公用经费减少。</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11" w:name="_Toc25233"/>
      <w:r>
        <w:rPr>
          <w:rFonts w:hint="eastAsia" w:ascii="仿宋_GB2312" w:hAnsi="仿宋_GB2312" w:eastAsia="仿宋_GB2312" w:cs="仿宋_GB2312"/>
          <w:sz w:val="32"/>
          <w:szCs w:val="32"/>
          <w:lang w:val="en-US" w:eastAsia="zh-CN"/>
        </w:rPr>
        <w:t>（二）一般公共预算当年拨款结构情况</w:t>
      </w:r>
      <w:bookmarkEnd w:id="11"/>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社会保障和就业支出323.2万元，占</w:t>
      </w:r>
      <w:r>
        <w:rPr>
          <w:rFonts w:hint="default" w:ascii="仿宋_GB2312" w:hAnsi="仿宋_GB2312" w:eastAsia="仿宋_GB2312" w:cs="仿宋_GB2312"/>
          <w:sz w:val="32"/>
          <w:szCs w:val="32"/>
          <w:lang w:eastAsia="zh-CN"/>
        </w:rPr>
        <w:t>91.09</w:t>
      </w:r>
      <w:r>
        <w:rPr>
          <w:rFonts w:hint="eastAsia" w:ascii="仿宋_GB2312" w:hAnsi="仿宋_GB2312" w:eastAsia="仿宋_GB2312" w:cs="仿宋_GB2312"/>
          <w:sz w:val="32"/>
          <w:szCs w:val="32"/>
          <w:lang w:val="en-US" w:eastAsia="zh-CN"/>
        </w:rPr>
        <w:t>%；卫生健康支出8.74万元，占2.4</w:t>
      </w:r>
      <w:r>
        <w:rPr>
          <w:rFonts w:hint="default" w:ascii="仿宋_GB2312" w:hAnsi="仿宋_GB2312" w:eastAsia="仿宋_GB2312" w:cs="仿宋_GB2312"/>
          <w:sz w:val="32"/>
          <w:szCs w:val="32"/>
          <w:lang w:eastAsia="zh-CN"/>
        </w:rPr>
        <w:t>7</w:t>
      </w:r>
      <w:r>
        <w:rPr>
          <w:rFonts w:hint="eastAsia" w:ascii="仿宋_GB2312" w:hAnsi="仿宋_GB2312" w:eastAsia="仿宋_GB2312" w:cs="仿宋_GB2312"/>
          <w:sz w:val="32"/>
          <w:szCs w:val="32"/>
          <w:lang w:val="en-US" w:eastAsia="zh-CN"/>
        </w:rPr>
        <w:t>%；住房保障支出22.86万元，占6.44%。</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12" w:name="_Toc4816"/>
      <w:r>
        <w:rPr>
          <w:rFonts w:hint="eastAsia" w:ascii="仿宋_GB2312" w:hAnsi="仿宋_GB2312" w:eastAsia="仿宋_GB2312" w:cs="仿宋_GB2312"/>
          <w:sz w:val="32"/>
          <w:szCs w:val="32"/>
          <w:lang w:val="en-US" w:eastAsia="zh-CN"/>
        </w:rPr>
        <w:t>（三）一般公共预算当年拨款具体使用情况</w:t>
      </w:r>
      <w:bookmarkEnd w:id="12"/>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default"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.社会保障和就业（类）行政事业单位养老支出（款）机关事业单位基本养老保险缴费支出（项）2024年预算数为26.78万元，主要用于：实施养老保险制度由单位缴纳的基本养老保险支出。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社会保障和就业支出（类）退役安置（款）军队移交政府离退休干部管理机构（项）2024年预算数为296.42万元，主要用于：完成日常工作任务而发生的人员经费支出和公用经费支出，以及乡村振兴工作和军休人员活动支出</w:t>
      </w:r>
      <w:r>
        <w:rPr>
          <w:rFonts w:hint="default" w:ascii="仿宋_GB2312" w:hAnsi="仿宋_GB2312" w:eastAsia="仿宋_GB2312" w:cs="仿宋_GB2312"/>
          <w:i w:val="0"/>
          <w:caps w:val="0"/>
          <w:color w:val="333333"/>
          <w:spacing w:val="0"/>
          <w:kern w:val="0"/>
          <w:sz w:val="32"/>
          <w:szCs w:val="32"/>
          <w:shd w:val="clear" w:color="auto" w:fill="FFFFFF"/>
          <w:lang w:eastAsia="zh-CN" w:bidi="ar"/>
        </w:rPr>
        <w:t>。</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3.卫生健康（类）行政事业单位医疗（款）事业单位医疗（项）2024年预算数为8.74万元，主要用于：事业单位按规定由单位缴纳的基本医疗保险支出。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4.住房保障（类）住房改革支出（款）住房公积金（项）2024年预算数为22.86万元，主要用于：部门按规定为职工缴纳的住房公积金支出。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rPr>
      </w:pPr>
      <w:bookmarkStart w:id="13" w:name="_Toc15431"/>
      <w:r>
        <w:rPr>
          <w:rFonts w:hint="eastAsia" w:ascii="仿宋_GB2312" w:hAnsi="仿宋_GB2312" w:eastAsia="仿宋_GB2312" w:cs="仿宋_GB2312"/>
          <w:b/>
          <w:bCs/>
          <w:sz w:val="32"/>
          <w:szCs w:val="32"/>
          <w:lang w:val="en-US" w:eastAsia="zh-CN"/>
        </w:rPr>
        <w:t>六、一般公共预算基本支出情况说明</w:t>
      </w:r>
      <w:bookmarkEnd w:id="13"/>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市军休所2024年一般公共预算基本支出341.42万元，其中：</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人员经费315.01万元，主要包括：基本工资、津贴补贴、奖金、</w:t>
      </w:r>
      <w:r>
        <w:rPr>
          <w:rFonts w:hint="default" w:ascii="仿宋_GB2312" w:hAnsi="仿宋_GB2312" w:eastAsia="仿宋_GB2312" w:cs="仿宋_GB2312"/>
          <w:sz w:val="32"/>
          <w:szCs w:val="32"/>
          <w:lang w:eastAsia="zh-CN"/>
        </w:rPr>
        <w:t>绩效工资、</w:t>
      </w:r>
      <w:r>
        <w:rPr>
          <w:rFonts w:hint="eastAsia" w:ascii="仿宋_GB2312" w:hAnsi="仿宋_GB2312" w:eastAsia="仿宋_GB2312" w:cs="仿宋_GB2312"/>
          <w:sz w:val="32"/>
          <w:szCs w:val="32"/>
          <w:lang w:val="en-US" w:eastAsia="zh-CN"/>
        </w:rPr>
        <w:t>社会保险缴费、住房公积金、</w:t>
      </w:r>
      <w:r>
        <w:rPr>
          <w:rFonts w:hint="default" w:ascii="仿宋_GB2312" w:hAnsi="仿宋_GB2312" w:eastAsia="仿宋_GB2312" w:cs="仿宋_GB2312"/>
          <w:sz w:val="32"/>
          <w:szCs w:val="32"/>
          <w:lang w:eastAsia="zh-CN"/>
        </w:rPr>
        <w:t>生活补助、其他对个人和家庭的补助</w:t>
      </w:r>
      <w:r>
        <w:rPr>
          <w:rFonts w:hint="eastAsia" w:ascii="仿宋_GB2312" w:hAnsi="仿宋_GB2312" w:eastAsia="仿宋_GB2312" w:cs="仿宋_GB2312"/>
          <w:sz w:val="32"/>
          <w:szCs w:val="32"/>
          <w:lang w:val="en-US" w:eastAsia="zh-CN"/>
        </w:rPr>
        <w:t>等支出。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公用经费26.42万元，主要包括：办公费、</w:t>
      </w:r>
      <w:r>
        <w:rPr>
          <w:rFonts w:hint="default" w:ascii="仿宋_GB2312" w:hAnsi="仿宋_GB2312" w:eastAsia="仿宋_GB2312" w:cs="仿宋_GB2312"/>
          <w:sz w:val="32"/>
          <w:szCs w:val="32"/>
          <w:lang w:eastAsia="zh-CN"/>
        </w:rPr>
        <w:t>咨询费、</w:t>
      </w:r>
      <w:r>
        <w:rPr>
          <w:rFonts w:hint="eastAsia" w:ascii="仿宋_GB2312" w:hAnsi="仿宋_GB2312" w:eastAsia="仿宋_GB2312" w:cs="仿宋_GB2312"/>
          <w:sz w:val="32"/>
          <w:szCs w:val="32"/>
          <w:lang w:val="en-US" w:eastAsia="zh-CN"/>
        </w:rPr>
        <w:t>水费、电费、邮电费、差旅费、维修（护）费、培训费、公务接待费、劳务费、工会经费、福利费、公务用车运行维护费</w:t>
      </w:r>
      <w:r>
        <w:rPr>
          <w:rFonts w:hint="default" w:ascii="仿宋_GB2312" w:hAnsi="仿宋_GB2312" w:eastAsia="仿宋_GB2312" w:cs="仿宋_GB2312"/>
          <w:sz w:val="32"/>
          <w:szCs w:val="32"/>
          <w:lang w:eastAsia="zh-CN"/>
        </w:rPr>
        <w:t>、其他商品和服务支出</w:t>
      </w:r>
      <w:r>
        <w:rPr>
          <w:rFonts w:hint="eastAsia" w:ascii="仿宋_GB2312" w:hAnsi="仿宋_GB2312" w:eastAsia="仿宋_GB2312" w:cs="仿宋_GB2312"/>
          <w:sz w:val="32"/>
          <w:szCs w:val="32"/>
          <w:lang w:val="en-US" w:eastAsia="zh-CN"/>
        </w:rPr>
        <w:t>等支出。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rPr>
      </w:pPr>
      <w:bookmarkStart w:id="14" w:name="_Toc26233"/>
      <w:r>
        <w:rPr>
          <w:rFonts w:hint="eastAsia" w:ascii="仿宋_GB2312" w:hAnsi="仿宋_GB2312" w:eastAsia="仿宋_GB2312" w:cs="仿宋_GB2312"/>
          <w:b/>
          <w:bCs/>
          <w:sz w:val="32"/>
          <w:szCs w:val="32"/>
          <w:lang w:val="en-US" w:eastAsia="zh-CN"/>
        </w:rPr>
        <w:t>七、“三公”经费财政拨款预算安排情况说明</w:t>
      </w:r>
      <w:bookmarkEnd w:id="14"/>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市军休所单位2024年“三公”经费财政拨款预算数5.3万元，其中：公务接待费0.8万元，公务用车购置及运行维护费4.5万元，因公出国（境）经费0万元。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15" w:name="_Toc13460"/>
      <w:r>
        <w:rPr>
          <w:rFonts w:hint="eastAsia" w:ascii="仿宋_GB2312" w:hAnsi="仿宋_GB2312" w:eastAsia="仿宋_GB2312" w:cs="仿宋_GB2312"/>
          <w:sz w:val="32"/>
          <w:szCs w:val="32"/>
          <w:lang w:val="en-US" w:eastAsia="zh-CN"/>
        </w:rPr>
        <w:t>（一）公务接待费</w:t>
      </w:r>
      <w:bookmarkEnd w:id="15"/>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3"/>
        </w:numPr>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16" w:name="_Toc25315"/>
      <w:r>
        <w:rPr>
          <w:rFonts w:hint="eastAsia" w:ascii="仿宋_GB2312" w:hAnsi="仿宋_GB2312" w:eastAsia="仿宋_GB2312" w:cs="仿宋_GB2312"/>
          <w:sz w:val="32"/>
          <w:szCs w:val="32"/>
          <w:lang w:val="en-US" w:eastAsia="zh-CN"/>
        </w:rPr>
        <w:t>公务用车购置及运行维护费</w:t>
      </w:r>
      <w:bookmarkEnd w:id="16"/>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公务用车购置及运行维护费与2023年预算相比持平。</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单位现有公务用车2辆，其中：轿车1辆，旅行车（含商务车）1辆。</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2024年安排公务用车运行维护费4.5万元，用于2辆公务用车燃油、过路（桥）、维修、保险等方面支出，主要保障</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军休人员活动用车</w:t>
      </w:r>
      <w:r>
        <w:rPr>
          <w:rFonts w:hint="eastAsia" w:ascii="仿宋_GB2312" w:hAnsi="仿宋_GB2312" w:eastAsia="仿宋_GB2312" w:cs="仿宋_GB2312"/>
          <w:sz w:val="32"/>
          <w:szCs w:val="32"/>
          <w:lang w:val="en-US" w:eastAsia="zh-CN"/>
        </w:rPr>
        <w:t>。</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jc w:val="both"/>
        <w:textAlignment w:val="auto"/>
        <w:outlineLvl w:val="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17" w:name="_Toc20995"/>
      <w:r>
        <w:rPr>
          <w:rFonts w:hint="eastAsia" w:ascii="仿宋_GB2312" w:hAnsi="仿宋_GB2312" w:eastAsia="仿宋_GB2312" w:cs="仿宋_GB2312"/>
          <w:sz w:val="32"/>
          <w:szCs w:val="32"/>
          <w:lang w:val="en-US" w:eastAsia="zh-CN"/>
        </w:rPr>
        <w:t>（三）因公出国（境）经费</w:t>
      </w:r>
      <w:bookmarkEnd w:id="17"/>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因公出国（境）经费与2023持平，无专项预算。</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lang w:val="en-US" w:eastAsia="zh-CN"/>
        </w:rPr>
      </w:pPr>
      <w:bookmarkStart w:id="18" w:name="_Toc2725"/>
      <w:r>
        <w:rPr>
          <w:rFonts w:hint="eastAsia" w:ascii="仿宋_GB2312" w:hAnsi="仿宋_GB2312" w:eastAsia="仿宋_GB2312" w:cs="仿宋_GB2312"/>
          <w:b/>
          <w:bCs/>
          <w:sz w:val="32"/>
          <w:szCs w:val="32"/>
          <w:lang w:val="en-US" w:eastAsia="zh-CN"/>
        </w:rPr>
        <w:t>八、政府性基金预算支出情况说明</w:t>
      </w:r>
      <w:bookmarkEnd w:id="18"/>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市军休所2024年无政府性基金预算拨款安排的支出。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lang w:val="en-US" w:eastAsia="zh-CN"/>
        </w:rPr>
      </w:pPr>
      <w:bookmarkStart w:id="19" w:name="_Toc12841"/>
      <w:r>
        <w:rPr>
          <w:rFonts w:hint="eastAsia" w:ascii="仿宋_GB2312" w:hAnsi="仿宋_GB2312" w:eastAsia="仿宋_GB2312" w:cs="仿宋_GB2312"/>
          <w:b/>
          <w:bCs/>
          <w:sz w:val="32"/>
          <w:szCs w:val="32"/>
          <w:lang w:val="en-US" w:eastAsia="zh-CN"/>
        </w:rPr>
        <w:t>九、国有资本经营预算支出情况说明</w:t>
      </w:r>
      <w:bookmarkEnd w:id="19"/>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市军休所2024年无国有资本经营预算拨款安排的支出。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2" w:firstLineChars="200"/>
        <w:jc w:val="both"/>
        <w:textAlignment w:val="auto"/>
        <w:outlineLvl w:val="0"/>
        <w:rPr>
          <w:rFonts w:hint="eastAsia" w:ascii="仿宋_GB2312" w:hAnsi="仿宋_GB2312" w:eastAsia="仿宋_GB2312" w:cs="仿宋_GB2312"/>
          <w:b/>
          <w:bCs/>
          <w:sz w:val="32"/>
          <w:szCs w:val="32"/>
        </w:rPr>
      </w:pPr>
      <w:bookmarkStart w:id="20" w:name="_Toc23826"/>
      <w:r>
        <w:rPr>
          <w:rFonts w:hint="eastAsia" w:ascii="仿宋_GB2312" w:hAnsi="仿宋_GB2312" w:eastAsia="仿宋_GB2312" w:cs="仿宋_GB2312"/>
          <w:b/>
          <w:bCs/>
          <w:sz w:val="32"/>
          <w:szCs w:val="32"/>
          <w:lang w:val="en-US" w:eastAsia="zh-CN"/>
        </w:rPr>
        <w:t>十、其他重要事项的情况说明</w:t>
      </w:r>
      <w:bookmarkEnd w:id="20"/>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21" w:name="_Toc30446"/>
      <w:r>
        <w:rPr>
          <w:rFonts w:hint="eastAsia" w:ascii="仿宋_GB2312" w:hAnsi="仿宋_GB2312" w:eastAsia="仿宋_GB2312" w:cs="仿宋_GB2312"/>
          <w:sz w:val="32"/>
          <w:szCs w:val="32"/>
          <w:lang w:val="en-US" w:eastAsia="zh-CN"/>
        </w:rPr>
        <w:t>（一）机关运行经费</w:t>
      </w:r>
      <w:bookmarkEnd w:id="21"/>
    </w:p>
    <w:p>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FFFFFF" w:themeFill="background1"/>
        <w:suppressAutoHyphens/>
        <w:kinsoku/>
        <w:wordWrap/>
        <w:overflowPunct/>
        <w:topLinePunct w:val="0"/>
        <w:autoSpaceDE/>
        <w:autoSpaceDN/>
        <w:bidi w:val="0"/>
        <w:spacing w:beforeAutospacing="0" w:afterAutospacing="0" w:line="576" w:lineRule="exact"/>
        <w:ind w:right="0" w:firstLine="640" w:firstLineChars="200"/>
        <w:jc w:val="both"/>
        <w:textAlignment w:val="auto"/>
        <w:rPr>
          <w:rFonts w:hint="eastAsia" w:ascii="仿宋_GB2312" w:hAnsi="仿宋_GB2312" w:eastAsia="仿宋_GB2312" w:cs="仿宋_GB2312"/>
          <w:i w:val="0"/>
          <w:caps w:val="0"/>
          <w:color w:val="333333"/>
          <w:spacing w:val="0"/>
          <w:kern w:val="0"/>
          <w:sz w:val="32"/>
          <w:szCs w:val="32"/>
          <w:shd w:val="clear" w:color="auto" w:fill="FFFFFF"/>
          <w:lang w:val="en-US" w:eastAsia="zh-CN" w:bidi="ar"/>
        </w:rPr>
      </w:pPr>
      <w:r>
        <w:rPr>
          <w:rFonts w:hint="eastAsia" w:ascii="仿宋_GB2312" w:hAnsi="仿宋_GB2312" w:eastAsia="仿宋_GB2312" w:cs="仿宋_GB2312"/>
          <w:sz w:val="32"/>
          <w:szCs w:val="32"/>
          <w:lang w:val="en-US" w:eastAsia="zh-CN"/>
        </w:rPr>
        <w:t>2024年，</w:t>
      </w:r>
      <w:r>
        <w:rPr>
          <w:rFonts w:hint="eastAsia" w:ascii="仿宋_GB2312" w:hAnsi="仿宋_GB2312" w:eastAsia="仿宋_GB2312" w:cs="仿宋_GB2312"/>
          <w:i w:val="0"/>
          <w:caps w:val="0"/>
          <w:color w:val="333333"/>
          <w:spacing w:val="0"/>
          <w:kern w:val="0"/>
          <w:sz w:val="32"/>
          <w:szCs w:val="32"/>
          <w:shd w:val="clear" w:color="auto" w:fill="FFFFFF"/>
          <w:lang w:val="en-US" w:eastAsia="zh-CN" w:bidi="ar"/>
        </w:rPr>
        <w:t>市军休所为事业单位，按规定未使用机关运行的相关科目。</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22" w:name="_Toc7363"/>
      <w:r>
        <w:rPr>
          <w:rFonts w:hint="eastAsia" w:ascii="仿宋_GB2312" w:hAnsi="仿宋_GB2312" w:eastAsia="仿宋_GB2312" w:cs="仿宋_GB2312"/>
          <w:sz w:val="32"/>
          <w:szCs w:val="32"/>
          <w:lang w:val="en-US" w:eastAsia="zh-CN"/>
        </w:rPr>
        <w:t>（二）政府采购情况</w:t>
      </w:r>
      <w:bookmarkEnd w:id="22"/>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2024年，市军休所单位安排政府采购预算0万元。</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lang w:val="en-US" w:eastAsia="zh-CN"/>
        </w:rPr>
      </w:pPr>
      <w:bookmarkStart w:id="23" w:name="_Toc18293"/>
      <w:r>
        <w:rPr>
          <w:rFonts w:hint="eastAsia" w:ascii="仿宋_GB2312" w:hAnsi="仿宋_GB2312" w:eastAsia="仿宋_GB2312" w:cs="仿宋_GB2312"/>
          <w:sz w:val="32"/>
          <w:szCs w:val="32"/>
          <w:lang w:val="en-US" w:eastAsia="zh-CN"/>
        </w:rPr>
        <w:t>（三）国有资产占有使用情况</w:t>
      </w:r>
      <w:bookmarkEnd w:id="23"/>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截至2023年底，市军休所单位共有车辆2辆，其中</w:t>
      </w:r>
      <w:r>
        <w:rPr>
          <w:rFonts w:hint="default"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定向保障用车2辆。单位无价值200万元以上的大型设备。</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w:t>
      </w:r>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预算未安排购置车辆及单位价值200万元以上大型设备。</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outlineLvl w:val="1"/>
        <w:rPr>
          <w:rFonts w:hint="eastAsia" w:ascii="仿宋_GB2312" w:hAnsi="仿宋_GB2312" w:eastAsia="仿宋_GB2312" w:cs="仿宋_GB2312"/>
          <w:sz w:val="32"/>
          <w:szCs w:val="32"/>
        </w:rPr>
      </w:pPr>
      <w:bookmarkStart w:id="24" w:name="_Toc20353"/>
      <w:r>
        <w:rPr>
          <w:rFonts w:hint="eastAsia" w:ascii="仿宋_GB2312" w:hAnsi="仿宋_GB2312" w:eastAsia="仿宋_GB2312" w:cs="仿宋_GB2312"/>
          <w:sz w:val="32"/>
          <w:szCs w:val="32"/>
          <w:lang w:val="en-US" w:eastAsia="zh-CN"/>
        </w:rPr>
        <w:t>（四）绩效目标设置情况</w:t>
      </w:r>
      <w:bookmarkEnd w:id="24"/>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t>2024年市军休所开展绩效目标管理的项目26个，涉及预算354.8万元。其中：人员类项目10个，涉及预算315.01万元；运转类项目14个，涉及预算26.42万元；特定目标类项目2个，涉及预算13.38万元。</w:t>
      </w:r>
    </w:p>
    <w:p>
      <w:pPr>
        <w:keepNext w:val="0"/>
        <w:keepLines w:val="0"/>
        <w:pageBreakBefore w:val="0"/>
        <w:widowControl/>
        <w:suppressLineNumbers w:val="0"/>
        <w:pBdr>
          <w:top w:val="none" w:color="auto" w:sz="0" w:space="1"/>
          <w:left w:val="none" w:color="auto" w:sz="0" w:space="4"/>
          <w:bottom w:val="none" w:color="auto" w:sz="0" w:space="1"/>
          <w:right w:val="none" w:color="auto" w:sz="0" w:space="4"/>
          <w:between w:val="none" w:color="auto" w:sz="0" w:space="0"/>
        </w:pBdr>
        <w:shd w:val="clear" w:color="auto" w:fill="FFFFFF"/>
        <w:suppressAutoHyphens/>
        <w:kinsoku/>
        <w:wordWrap/>
        <w:overflowPunct/>
        <w:topLinePunct w:val="0"/>
        <w:autoSpaceDE/>
        <w:autoSpaceDN/>
        <w:bidi w:val="0"/>
        <w:adjustRightInd/>
        <w:snapToGrid/>
        <w:spacing w:beforeAutospacing="0" w:afterAutospacing="0" w:line="576" w:lineRule="exact"/>
        <w:ind w:left="0" w:right="0" w:firstLine="641"/>
        <w:jc w:val="both"/>
        <w:textAlignment w:val="auto"/>
        <w:outlineLvl w:val="0"/>
        <w:rPr>
          <w:rFonts w:hint="default" w:ascii="Calibri" w:hAnsi="Calibri" w:cs="Calibri"/>
          <w:b/>
          <w:bCs/>
          <w:i w:val="0"/>
          <w:caps w:val="0"/>
          <w:color w:val="000000"/>
          <w:spacing w:val="0"/>
          <w:sz w:val="21"/>
          <w:szCs w:val="21"/>
        </w:rPr>
      </w:pPr>
      <w:bookmarkStart w:id="25" w:name="_Toc18663"/>
      <w:r>
        <w:rPr>
          <w:rFonts w:hint="default" w:ascii="黑体" w:hAnsi="宋体" w:eastAsia="宋体" w:cs="黑体"/>
          <w:b/>
          <w:bCs/>
          <w:i w:val="0"/>
          <w:caps w:val="0"/>
          <w:color w:val="000000"/>
          <w:spacing w:val="0"/>
          <w:kern w:val="0"/>
          <w:sz w:val="32"/>
          <w:szCs w:val="32"/>
          <w:shd w:val="clear" w:color="auto" w:fill="FFFFFF"/>
          <w:lang w:val="en-US" w:eastAsia="zh-CN" w:bidi="ar"/>
        </w:rPr>
        <w:t>十一、名词解释</w:t>
      </w:r>
      <w:bookmarkEnd w:id="25"/>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bookmarkStart w:id="26" w:name="_Toc27206"/>
      <w:r>
        <w:rPr>
          <w:rFonts w:hint="eastAsia" w:ascii="仿宋_GB2312" w:hAnsi="仿宋_GB2312" w:eastAsia="仿宋_GB2312" w:cs="仿宋_GB2312"/>
          <w:sz w:val="32"/>
          <w:szCs w:val="32"/>
          <w:lang w:val="en-US" w:eastAsia="zh-CN"/>
        </w:rPr>
        <w:t>（一）</w:t>
      </w:r>
      <w:r>
        <w:rPr>
          <w:rFonts w:hint="default" w:ascii="仿宋_GB2312" w:hAnsi="仿宋_GB2312" w:eastAsia="仿宋_GB2312" w:cs="仿宋_GB2312"/>
          <w:sz w:val="32"/>
          <w:szCs w:val="32"/>
          <w:lang w:val="en-US" w:eastAsia="zh-CN"/>
        </w:rPr>
        <w:t>财政拨款收入:指市财政当年安排的财政预算收入。按现行管理制度,部门预算中反映的财政拨款包括一般公共预算拨款和政府性基金预算拨款。</w:t>
      </w:r>
    </w:p>
    <w:bookmarkEnd w:id="26"/>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bookmarkStart w:id="27" w:name="_Toc22250"/>
      <w:r>
        <w:rPr>
          <w:rFonts w:hint="eastAsia" w:ascii="仿宋_GB2312" w:hAnsi="仿宋_GB2312" w:eastAsia="仿宋_GB2312" w:cs="仿宋_GB2312"/>
          <w:sz w:val="32"/>
          <w:szCs w:val="32"/>
          <w:lang w:val="en-US" w:eastAsia="zh-CN"/>
        </w:rPr>
        <w:t>（二）</w:t>
      </w:r>
      <w:bookmarkEnd w:id="27"/>
      <w:bookmarkStart w:id="28" w:name="_Toc29290"/>
      <w:r>
        <w:rPr>
          <w:rFonts w:hint="eastAsia" w:ascii="仿宋_GB2312" w:hAnsi="仿宋_GB2312" w:eastAsia="仿宋_GB2312" w:cs="仿宋_GB2312"/>
          <w:sz w:val="32"/>
          <w:szCs w:val="32"/>
          <w:lang w:val="en-US" w:eastAsia="zh-CN"/>
        </w:rPr>
        <w:t>社会保障和就业208（类）行政事业单位养老支出05（款）机关事业单位基本养老保险缴费支出05（项）：指部门实施养老保险制度由单位缴纳的养老保险的支出。</w:t>
      </w:r>
      <w:bookmarkEnd w:id="28"/>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仿宋_GB2312" w:hAnsi="仿宋_GB2312" w:eastAsia="仿宋_GB2312" w:cs="仿宋_GB2312"/>
          <w:sz w:val="32"/>
          <w:szCs w:val="32"/>
          <w:lang w:eastAsia="zh-CN"/>
        </w:rPr>
        <w:t>（三）</w:t>
      </w:r>
      <w:bookmarkStart w:id="29" w:name="_Toc16532"/>
      <w:r>
        <w:rPr>
          <w:rFonts w:hint="eastAsia" w:ascii="仿宋_GB2312" w:hAnsi="仿宋_GB2312" w:eastAsia="仿宋_GB2312" w:cs="仿宋_GB2312"/>
          <w:sz w:val="32"/>
          <w:szCs w:val="32"/>
          <w:lang w:val="en-US" w:eastAsia="zh-CN"/>
        </w:rPr>
        <w:t>社会保障和就业208（类）09（款）03（项）军队移交政府离退休干部管理机构，反映退役军人事务部门管理的军队移交政府安置的离退休干部管理机构列入事业编制的人员经费、公用经费以及管理机构用房建设经费等支出。</w:t>
      </w:r>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（四）卫生健康210（类）行政事业单位医疗11（款）事业单位医疗01（项）：指事业单位用于单位应缴纳基本医疗保险支出。</w:t>
      </w:r>
      <w:bookmarkEnd w:id="29"/>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bookmarkStart w:id="30" w:name="_Toc25926"/>
      <w:r>
        <w:rPr>
          <w:rFonts w:hint="eastAsia" w:ascii="仿宋_GB2312" w:hAnsi="仿宋_GB2312" w:eastAsia="仿宋_GB2312" w:cs="仿宋_GB2312"/>
          <w:sz w:val="32"/>
          <w:szCs w:val="32"/>
          <w:lang w:val="en-US" w:eastAsia="zh-CN"/>
        </w:rPr>
        <w:t>（五）住房保障221（类）住房改革支出02（款）住房公积金01（项）：指按照《住房公积金管理条例》的规定，由单位及其在职职工缴存的长期住房储金。</w:t>
      </w:r>
      <w:bookmarkEnd w:id="30"/>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bookmarkStart w:id="31" w:name="_Toc13838"/>
      <w:r>
        <w:rPr>
          <w:rFonts w:hint="eastAsia" w:ascii="仿宋_GB2312" w:hAnsi="仿宋_GB2312" w:eastAsia="仿宋_GB2312" w:cs="仿宋_GB2312"/>
          <w:sz w:val="32"/>
          <w:szCs w:val="32"/>
          <w:lang w:val="en-US" w:eastAsia="zh-CN"/>
        </w:rPr>
        <w:t>（六）基本支出：指为保证机构正常运转，完成日常工作任务而发生的人员支出和公用支出。</w:t>
      </w:r>
      <w:bookmarkEnd w:id="31"/>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bookmarkStart w:id="32" w:name="_Toc458"/>
      <w:r>
        <w:rPr>
          <w:rFonts w:hint="eastAsia" w:ascii="仿宋_GB2312" w:hAnsi="仿宋_GB2312" w:eastAsia="仿宋_GB2312" w:cs="仿宋_GB2312"/>
          <w:sz w:val="32"/>
          <w:szCs w:val="32"/>
          <w:lang w:val="en-US" w:eastAsia="zh-CN"/>
        </w:rPr>
        <w:t>（七）项目支出：指在基本支出之外为完成特定行政任务和事业发展目标所发生的支出。</w:t>
      </w:r>
      <w:bookmarkEnd w:id="32"/>
    </w:p>
    <w:p>
      <w:pPr>
        <w:keepNext w:val="0"/>
        <w:keepLines w:val="0"/>
        <w:pageBreakBefore w:val="0"/>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uppressAutoHyphens/>
        <w:kinsoku/>
        <w:wordWrap/>
        <w:overflowPunct/>
        <w:topLinePunct w:val="0"/>
        <w:autoSpaceDE/>
        <w:autoSpaceDN/>
        <w:bidi w:val="0"/>
        <w:adjustRightInd/>
        <w:snapToGrid/>
        <w:spacing w:line="576" w:lineRule="exact"/>
        <w:ind w:firstLine="640" w:firstLineChars="200"/>
        <w:jc w:val="both"/>
        <w:textAlignment w:val="auto"/>
        <w:rPr>
          <w:rFonts w:hint="default" w:ascii="仿宋_GB2312" w:hAnsi="仿宋_GB2312" w:eastAsia="仿宋_GB2312" w:cs="仿宋_GB2312"/>
          <w:sz w:val="32"/>
          <w:szCs w:val="32"/>
          <w:lang w:val="en-US" w:eastAsia="zh-CN"/>
        </w:rPr>
      </w:pPr>
      <w:bookmarkStart w:id="33" w:name="_Toc13387"/>
      <w:r>
        <w:rPr>
          <w:rFonts w:hint="eastAsia" w:ascii="仿宋_GB2312" w:hAnsi="仿宋_GB2312" w:eastAsia="仿宋_GB2312" w:cs="仿宋_GB2312"/>
          <w:sz w:val="32"/>
          <w:szCs w:val="32"/>
          <w:lang w:val="en-US" w:eastAsia="zh-CN"/>
        </w:rPr>
        <w:t>（八）“三公”经费：纳入财政局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End w:id="33"/>
    </w:p>
    <w:p>
      <w:pPr>
        <w:keepNext w:val="0"/>
        <w:keepLines w:val="0"/>
        <w:pageBreakBefore w:val="0"/>
        <w:widowControl w:val="0"/>
        <w:shd w:val="clear" w:fill="FFFFFF" w:themeFill="background1"/>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fill="FFFFFF" w:themeFill="background1"/>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w:t>
      </w:r>
      <w:bookmarkStart w:id="34" w:name="_Toc563"/>
      <w:r>
        <w:rPr>
          <w:rFonts w:hint="default" w:ascii="仿宋_GB2312" w:hAnsi="仿宋_GB2312" w:eastAsia="仿宋_GB2312" w:cs="仿宋_GB2312"/>
          <w:sz w:val="32"/>
          <w:szCs w:val="32"/>
          <w:lang w:eastAsia="zh-CN"/>
        </w:rPr>
        <w:t>单位</w:t>
      </w:r>
      <w:r>
        <w:rPr>
          <w:rFonts w:hint="eastAsia" w:ascii="仿宋_GB2312" w:hAnsi="仿宋_GB2312" w:eastAsia="仿宋_GB2312" w:cs="仿宋_GB2312"/>
          <w:sz w:val="32"/>
          <w:szCs w:val="32"/>
          <w:lang w:val="en-US" w:eastAsia="zh-CN"/>
        </w:rPr>
        <w:t>预算公开表</w:t>
      </w:r>
      <w:bookmarkEnd w:id="34"/>
    </w:p>
    <w:sectPr>
      <w:footerReference r:id="rId3" w:type="default"/>
      <w:pgSz w:w="11906" w:h="16838"/>
      <w:pgMar w:top="2098" w:right="1474" w:bottom="1984" w:left="1587" w:header="720" w:footer="1559"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仿宋">
    <w:altName w:val="宋体"/>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BYAAABkcnMvUEsBAhQAFAAAAAgAh07iQM6p&#10;ebnPAAAABQEAAA8AAAAAAAAAAQAgAAAAOAAAAGRycy9kb3ducmV2LnhtbFBLAQIUABQAAAAIAIdO&#10;4kBteV5o3QEAAL4DAAAOAAAAAAAAAAEAIAAAADQBAABkcnMvZTJvRG9jLnhtbFBLBQYAAAAABgAG&#10;AFkBAACDBQ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51142"/>
    <w:multiLevelType w:val="singleLevel"/>
    <w:tmpl w:val="1E851142"/>
    <w:lvl w:ilvl="0" w:tentative="0">
      <w:start w:val="3"/>
      <w:numFmt w:val="decimal"/>
      <w:suff w:val="nothing"/>
      <w:lvlText w:val="%1、"/>
      <w:lvlJc w:val="left"/>
    </w:lvl>
  </w:abstractNum>
  <w:abstractNum w:abstractNumId="1">
    <w:nsid w:val="2AE2B538"/>
    <w:multiLevelType w:val="singleLevel"/>
    <w:tmpl w:val="2AE2B538"/>
    <w:lvl w:ilvl="0" w:tentative="0">
      <w:start w:val="3"/>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0"/>
  <w:displayVerticalDrawingGridEvery w:val="2"/>
  <w:doNotUseMarginsForDrawingGridOrigin w:val="1"/>
  <w:drawingGridHorizontalOrigin w:val="0"/>
  <w:drawingGridVerticalOrigin w:val="0"/>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wZTc0N2QxYWZhMTdjY2YyYzc2MjEwZWE1NmRiNTkifQ=="/>
  </w:docVars>
  <w:rsids>
    <w:rsidRoot w:val="00000000"/>
    <w:rsid w:val="00910CBD"/>
    <w:rsid w:val="012352D1"/>
    <w:rsid w:val="06561720"/>
    <w:rsid w:val="07053989"/>
    <w:rsid w:val="074E5054"/>
    <w:rsid w:val="0A1C61C4"/>
    <w:rsid w:val="0B9B6CC0"/>
    <w:rsid w:val="0C315161"/>
    <w:rsid w:val="0FA81292"/>
    <w:rsid w:val="0FD27C88"/>
    <w:rsid w:val="111A593C"/>
    <w:rsid w:val="11612BC0"/>
    <w:rsid w:val="18E652C8"/>
    <w:rsid w:val="1C4B464D"/>
    <w:rsid w:val="1DED2DDB"/>
    <w:rsid w:val="1F7BF06F"/>
    <w:rsid w:val="1FEE4B73"/>
    <w:rsid w:val="20AA7CD6"/>
    <w:rsid w:val="23CE9849"/>
    <w:rsid w:val="23E0613B"/>
    <w:rsid w:val="256E1837"/>
    <w:rsid w:val="26EE1CB0"/>
    <w:rsid w:val="27256803"/>
    <w:rsid w:val="29FB3B61"/>
    <w:rsid w:val="2C0B0C19"/>
    <w:rsid w:val="2CC335F9"/>
    <w:rsid w:val="2D4A4213"/>
    <w:rsid w:val="32B23364"/>
    <w:rsid w:val="352451A7"/>
    <w:rsid w:val="35E20E01"/>
    <w:rsid w:val="37140D1B"/>
    <w:rsid w:val="37FE7BBC"/>
    <w:rsid w:val="39F304DD"/>
    <w:rsid w:val="3A0F549C"/>
    <w:rsid w:val="3C132E7D"/>
    <w:rsid w:val="46FBD199"/>
    <w:rsid w:val="4712632E"/>
    <w:rsid w:val="4B276F48"/>
    <w:rsid w:val="4DD44EA9"/>
    <w:rsid w:val="4ECB24B0"/>
    <w:rsid w:val="4ED6141A"/>
    <w:rsid w:val="53BFD1BB"/>
    <w:rsid w:val="54244390"/>
    <w:rsid w:val="54662A63"/>
    <w:rsid w:val="58064E12"/>
    <w:rsid w:val="5BDF543A"/>
    <w:rsid w:val="5BFEE015"/>
    <w:rsid w:val="5D38436F"/>
    <w:rsid w:val="5DEB46BA"/>
    <w:rsid w:val="5EAD5E12"/>
    <w:rsid w:val="5FAB7665"/>
    <w:rsid w:val="63EDCF55"/>
    <w:rsid w:val="63FBFBCF"/>
    <w:rsid w:val="646B1CD7"/>
    <w:rsid w:val="669360FD"/>
    <w:rsid w:val="68FF6A83"/>
    <w:rsid w:val="69D44C0B"/>
    <w:rsid w:val="6A143367"/>
    <w:rsid w:val="6ABF0881"/>
    <w:rsid w:val="6C0F020F"/>
    <w:rsid w:val="6E897981"/>
    <w:rsid w:val="6EABDC16"/>
    <w:rsid w:val="6EBF7B90"/>
    <w:rsid w:val="6FBBC9CF"/>
    <w:rsid w:val="70603D42"/>
    <w:rsid w:val="72BDE561"/>
    <w:rsid w:val="77565939"/>
    <w:rsid w:val="776E547E"/>
    <w:rsid w:val="78462278"/>
    <w:rsid w:val="78C37C2D"/>
    <w:rsid w:val="7997EA6C"/>
    <w:rsid w:val="79D30FCC"/>
    <w:rsid w:val="7A3C2AC3"/>
    <w:rsid w:val="7AEAE675"/>
    <w:rsid w:val="7B357982"/>
    <w:rsid w:val="7BAA3045"/>
    <w:rsid w:val="7BAFCE5D"/>
    <w:rsid w:val="7C9A5A93"/>
    <w:rsid w:val="7D46598C"/>
    <w:rsid w:val="7DFB240B"/>
    <w:rsid w:val="7E0935ED"/>
    <w:rsid w:val="7EBDB644"/>
    <w:rsid w:val="7FCF2AF7"/>
    <w:rsid w:val="9FEF033D"/>
    <w:rsid w:val="A27FF1E5"/>
    <w:rsid w:val="AFDEB5A7"/>
    <w:rsid w:val="AFEA7FBF"/>
    <w:rsid w:val="B56F8DCA"/>
    <w:rsid w:val="B83F4767"/>
    <w:rsid w:val="BB7F8A28"/>
    <w:rsid w:val="BF930F07"/>
    <w:rsid w:val="BFCE8436"/>
    <w:rsid w:val="C1DA0B86"/>
    <w:rsid w:val="C3F7EB7A"/>
    <w:rsid w:val="CFF5FEEC"/>
    <w:rsid w:val="D3DD9064"/>
    <w:rsid w:val="D6F76A0C"/>
    <w:rsid w:val="D7ECE8D2"/>
    <w:rsid w:val="DFDD4FB5"/>
    <w:rsid w:val="E7F748B5"/>
    <w:rsid w:val="EE5F3713"/>
    <w:rsid w:val="EFC9D62C"/>
    <w:rsid w:val="EFFBC3EC"/>
    <w:rsid w:val="F6BE9755"/>
    <w:rsid w:val="F6FFA89B"/>
    <w:rsid w:val="F7F773F4"/>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_Style 2"/>
    <w:next w:val="1"/>
    <w:qFormat/>
    <w:uiPriority w:val="0"/>
    <w:pPr>
      <w:keepNext/>
      <w:keepLines/>
      <w:spacing w:beforeAutospacing="0" w:after="0" w:afterAutospacing="0" w:line="576" w:lineRule="exact"/>
      <w:jc w:val="both"/>
      <w:outlineLvl w:val="9"/>
    </w:pPr>
    <w:rPr>
      <w:rFonts w:ascii="仿宋" w:hAnsi="仿宋" w:eastAsia="仿宋_GB2312" w:cs="Times New Roman"/>
      <w:color w:val="000000"/>
      <w:kern w:val="0"/>
      <w:sz w:val="32"/>
      <w:szCs w:val="32"/>
      <w:lang w:val="en-US" w:eastAsia="zh-CN" w:bidi="ar-SA"/>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table of figures"/>
    <w:basedOn w:val="1"/>
    <w:next w:val="1"/>
    <w:semiHidden/>
    <w:qFormat/>
    <w:uiPriority w:val="0"/>
    <w:pPr>
      <w:ind w:left="200" w:leftChars="200" w:hanging="200" w:hangingChars="200"/>
    </w:pPr>
  </w:style>
  <w:style w:type="paragraph" w:styleId="9">
    <w:name w:val="Normal (Web)"/>
    <w:basedOn w:val="1"/>
    <w:qFormat/>
    <w:uiPriority w:val="0"/>
    <w:rPr>
      <w:sz w:val="24"/>
    </w:rPr>
  </w:style>
  <w:style w:type="character" w:customStyle="1" w:styleId="12">
    <w:name w:val="默认段落字体1"/>
    <w:qFormat/>
    <w:uiPriority w:val="0"/>
  </w:style>
  <w:style w:type="paragraph" w:customStyle="1" w:styleId="13">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qFormat/>
    <w:uiPriority w:val="0"/>
    <w:pPr>
      <w:widowControl w:val="0"/>
      <w:suppressLineNumbers/>
      <w:suppressAutoHyphens/>
    </w:pPr>
  </w:style>
  <w:style w:type="paragraph" w:customStyle="1" w:styleId="15">
    <w:name w:val="WPSOffice手动目录 1"/>
    <w:qFormat/>
    <w:uiPriority w:val="0"/>
    <w:pPr>
      <w:ind w:leftChars="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Lines>1</Lines>
  <Paragraphs>1</Paragraphs>
  <TotalTime>4</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 </cp:lastModifiedBy>
  <dcterms:modified xsi:type="dcterms:W3CDTF">2024-02-28T15:27:30Z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