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27065"/>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广元市中医药发展服务中心</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sdt>
      <w:sdtPr>
        <w:rPr>
          <w:rFonts w:ascii="宋体" w:hAnsi="宋体" w:eastAsia="宋体" w:cs="Times New Roman"/>
          <w:color w:val="auto"/>
          <w:kern w:val="2"/>
          <w:sz w:val="21"/>
          <w:szCs w:val="24"/>
          <w:lang w:val="en-US" w:eastAsia="zh-CN" w:bidi="ar-SA"/>
        </w:rPr>
        <w:id w:val="147472350"/>
        <w15:color w:val="DBDBDB"/>
        <w:docPartObj>
          <w:docPartGallery w:val="Table of Contents"/>
          <w:docPartUnique/>
        </w:docPartObj>
      </w:sdtPr>
      <w:sdtEndPr>
        <w:rPr>
          <w:rFonts w:hint="eastAsia" w:ascii="Calibri" w:hAnsi="Calibri" w:eastAsia="宋体" w:cs="Times New Roman"/>
          <w:b/>
          <w:color w:val="auto"/>
          <w:kern w:val="2"/>
          <w:sz w:val="32"/>
          <w:szCs w:val="24"/>
          <w:lang w:val="en-US" w:eastAsia="zh-CN" w:bidi="ar-SA"/>
        </w:rPr>
      </w:sdtEndPr>
      <w:sdtContent>
        <w:p>
          <w:pPr>
            <w:pageBreakBefore w:val="0"/>
            <w:kinsoku/>
            <w:wordWrap/>
            <w:overflowPunct/>
            <w:topLinePunct w:val="0"/>
            <w:autoSpaceDE/>
            <w:autoSpaceDN/>
            <w:bidi w:val="0"/>
            <w:adjustRightInd/>
            <w:snapToGrid/>
            <w:spacing w:before="0" w:beforeLines="0" w:after="0" w:afterLines="0" w:line="460" w:lineRule="exact"/>
            <w:ind w:left="0" w:leftChars="0" w:right="0" w:rightChars="0" w:firstLine="0" w:firstLineChars="0"/>
            <w:jc w:val="center"/>
            <w:textAlignment w:val="auto"/>
          </w:pPr>
          <w:bookmarkStart w:id="62" w:name="_GoBack"/>
          <w:bookmarkEnd w:id="62"/>
          <w:r>
            <w:rPr>
              <w:rFonts w:ascii="宋体" w:hAnsi="宋体" w:eastAsia="宋体"/>
              <w:sz w:val="21"/>
            </w:rPr>
            <w:t>目录</w:t>
          </w:r>
        </w:p>
        <w:p>
          <w:pPr>
            <w:pStyle w:val="18"/>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b/>
              <w:lang w:val="en-US" w:eastAsia="zh-CN"/>
            </w:rPr>
            <w:fldChar w:fldCharType="begin"/>
          </w:r>
          <w:r>
            <w:rPr>
              <w:rFonts w:hint="eastAsia"/>
              <w:b/>
              <w:lang w:val="en-US" w:eastAsia="zh-CN"/>
            </w:rPr>
            <w:instrText xml:space="preserve"> HYPERLINK \l _Toc26768 </w:instrText>
          </w:r>
          <w:r>
            <w:rPr>
              <w:rFonts w:hint="eastAsia"/>
              <w:b/>
              <w:lang w:val="en-US" w:eastAsia="zh-CN"/>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_Toc26768 \h </w:instrText>
          </w:r>
          <w:r>
            <w:rPr>
              <w:b/>
            </w:rPr>
            <w:fldChar w:fldCharType="separate"/>
          </w:r>
          <w:r>
            <w:rPr>
              <w:b/>
            </w:rPr>
            <w:t>1</w:t>
          </w:r>
          <w:r>
            <w:rPr>
              <w:b/>
            </w:rPr>
            <w:fldChar w:fldCharType="end"/>
          </w:r>
          <w:r>
            <w:rPr>
              <w:rFonts w:hint="eastAsia"/>
              <w:b/>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_Toc21482 </w:instrText>
          </w:r>
          <w:r>
            <w:rPr>
              <w:rFonts w:hint="eastAsia"/>
              <w:lang w:val="en-US" w:eastAsia="zh-CN"/>
            </w:rPr>
            <w:fldChar w:fldCharType="separate"/>
          </w:r>
          <w:r>
            <w:rPr>
              <w:rFonts w:hint="eastAsia" w:ascii="楷体_GB2312" w:hAnsi="楷体_GB2312" w:eastAsia="楷体_GB2312" w:cs="楷体_GB2312"/>
              <w:szCs w:val="32"/>
              <w:lang w:val="en-US" w:eastAsia="zh-CN"/>
            </w:rPr>
            <w:t>（一）广元市中医药发展服务中心</w:t>
          </w:r>
          <w:r>
            <w:rPr>
              <w:rFonts w:hint="eastAsia" w:ascii="楷体_GB2312" w:hAnsi="楷体_GB2312" w:eastAsia="楷体_GB2312" w:cs="楷体_GB2312"/>
              <w:szCs w:val="32"/>
            </w:rPr>
            <w:t>职能简介</w:t>
          </w:r>
          <w:r>
            <w:tab/>
          </w:r>
          <w:r>
            <w:fldChar w:fldCharType="begin"/>
          </w:r>
          <w:r>
            <w:instrText xml:space="preserve"> PAGEREF _Toc21482 \h </w:instrText>
          </w:r>
          <w:r>
            <w:fldChar w:fldCharType="separate"/>
          </w:r>
          <w:r>
            <w:t>1</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_Toc17768 </w:instrText>
          </w:r>
          <w:r>
            <w:rPr>
              <w:rFonts w:hint="eastAsia"/>
              <w:lang w:val="en-US" w:eastAsia="zh-CN"/>
            </w:rPr>
            <w:fldChar w:fldCharType="separate"/>
          </w:r>
          <w:r>
            <w:rPr>
              <w:rFonts w:hint="eastAsia" w:ascii="楷体_GB2312" w:hAnsi="楷体_GB2312" w:eastAsia="楷体_GB2312" w:cs="楷体_GB2312"/>
              <w:szCs w:val="32"/>
              <w:lang w:val="en-US" w:eastAsia="zh-CN"/>
            </w:rPr>
            <w:t>（二）广元市中医药发展服务中心2024年重点工作</w:t>
          </w:r>
          <w:r>
            <w:tab/>
          </w:r>
          <w:r>
            <w:fldChar w:fldCharType="begin"/>
          </w:r>
          <w:r>
            <w:instrText xml:space="preserve"> PAGEREF _Toc17768 \h </w:instrText>
          </w:r>
          <w:r>
            <w:fldChar w:fldCharType="separate"/>
          </w:r>
          <w:r>
            <w:t>1</w:t>
          </w:r>
          <w:r>
            <w:fldChar w:fldCharType="end"/>
          </w:r>
          <w:r>
            <w:rPr>
              <w:rFonts w:hint="eastAsia"/>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_Toc21689 </w:instrText>
          </w:r>
          <w:r>
            <w:rPr>
              <w:rFonts w:hint="eastAsia"/>
              <w:b/>
              <w:lang w:val="en-US" w:eastAsia="zh-CN"/>
            </w:rPr>
            <w:fldChar w:fldCharType="separate"/>
          </w:r>
          <w:r>
            <w:rPr>
              <w:rFonts w:hint="eastAsia" w:ascii="黑体" w:hAnsi="黑体" w:eastAsia="黑体" w:cs="黑体"/>
              <w:b/>
              <w:szCs w:val="32"/>
              <w:lang w:val="en-US" w:eastAsia="zh-CN"/>
            </w:rPr>
            <w:t>二、单位预算单位构成</w:t>
          </w:r>
          <w:r>
            <w:rPr>
              <w:b/>
            </w:rPr>
            <w:tab/>
          </w:r>
          <w:r>
            <w:rPr>
              <w:b/>
            </w:rPr>
            <w:fldChar w:fldCharType="begin"/>
          </w:r>
          <w:r>
            <w:rPr>
              <w:b/>
            </w:rPr>
            <w:instrText xml:space="preserve"> PAGEREF _Toc21689 \h </w:instrText>
          </w:r>
          <w:r>
            <w:rPr>
              <w:b/>
            </w:rPr>
            <w:fldChar w:fldCharType="separate"/>
          </w:r>
          <w:r>
            <w:rPr>
              <w:b/>
            </w:rPr>
            <w:t>2</w:t>
          </w:r>
          <w:r>
            <w:rPr>
              <w:b/>
            </w:rPr>
            <w:fldChar w:fldCharType="end"/>
          </w:r>
          <w:r>
            <w:rPr>
              <w:rFonts w:hint="eastAsia"/>
              <w:b/>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_Toc16411 </w:instrText>
          </w:r>
          <w:r>
            <w:rPr>
              <w:rFonts w:hint="eastAsia"/>
              <w:b/>
              <w:lang w:val="en-US" w:eastAsia="zh-CN"/>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_Toc16411 \h </w:instrText>
          </w:r>
          <w:r>
            <w:rPr>
              <w:b/>
            </w:rPr>
            <w:fldChar w:fldCharType="separate"/>
          </w:r>
          <w:r>
            <w:rPr>
              <w:b/>
            </w:rPr>
            <w:t>2</w:t>
          </w:r>
          <w:r>
            <w:rPr>
              <w:b/>
            </w:rPr>
            <w:fldChar w:fldCharType="end"/>
          </w:r>
          <w:r>
            <w:rPr>
              <w:rFonts w:hint="eastAsia"/>
              <w:b/>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_Toc9192 </w:instrText>
          </w:r>
          <w:r>
            <w:rPr>
              <w:rFonts w:hint="eastAsia"/>
              <w:lang w:val="en-US" w:eastAsia="zh-CN"/>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_Toc9192 \h </w:instrText>
          </w:r>
          <w:r>
            <w:fldChar w:fldCharType="separate"/>
          </w:r>
          <w:r>
            <w:t>2</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_Toc28882 </w:instrText>
          </w:r>
          <w:r>
            <w:rPr>
              <w:rFonts w:hint="eastAsia"/>
              <w:lang w:val="en-US" w:eastAsia="zh-CN"/>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_Toc28882 \h </w:instrText>
          </w:r>
          <w:r>
            <w:fldChar w:fldCharType="separate"/>
          </w:r>
          <w:r>
            <w:t>2</w:t>
          </w:r>
          <w:r>
            <w:fldChar w:fldCharType="end"/>
          </w:r>
          <w:r>
            <w:rPr>
              <w:rFonts w:hint="eastAsia"/>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_Toc8848 </w:instrText>
          </w:r>
          <w:r>
            <w:rPr>
              <w:rFonts w:hint="eastAsia"/>
              <w:b/>
              <w:lang w:val="en-US" w:eastAsia="zh-CN"/>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_Toc8848 \h </w:instrText>
          </w:r>
          <w:r>
            <w:rPr>
              <w:b/>
            </w:rPr>
            <w:fldChar w:fldCharType="separate"/>
          </w:r>
          <w:r>
            <w:rPr>
              <w:b/>
            </w:rPr>
            <w:t>2</w:t>
          </w:r>
          <w:r>
            <w:rPr>
              <w:b/>
            </w:rPr>
            <w:fldChar w:fldCharType="end"/>
          </w:r>
          <w:r>
            <w:rPr>
              <w:rFonts w:hint="eastAsia"/>
              <w:b/>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_Toc32660 </w:instrText>
          </w:r>
          <w:r>
            <w:rPr>
              <w:rFonts w:hint="eastAsia"/>
              <w:b/>
              <w:lang w:val="en-US" w:eastAsia="zh-CN"/>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_Toc32660 \h </w:instrText>
          </w:r>
          <w:r>
            <w:rPr>
              <w:b/>
            </w:rPr>
            <w:fldChar w:fldCharType="separate"/>
          </w:r>
          <w:r>
            <w:rPr>
              <w:b/>
            </w:rPr>
            <w:t>3</w:t>
          </w:r>
          <w:r>
            <w:rPr>
              <w:b/>
            </w:rPr>
            <w:fldChar w:fldCharType="end"/>
          </w:r>
          <w:r>
            <w:rPr>
              <w:rFonts w:hint="eastAsia"/>
              <w:b/>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_Toc7869 </w:instrText>
          </w:r>
          <w:r>
            <w:rPr>
              <w:rFonts w:hint="eastAsia"/>
              <w:lang w:val="en-US" w:eastAsia="zh-CN"/>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_Toc7869 \h </w:instrText>
          </w:r>
          <w:r>
            <w:fldChar w:fldCharType="separate"/>
          </w:r>
          <w:r>
            <w:t>3</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_Toc14294 </w:instrText>
          </w:r>
          <w:r>
            <w:rPr>
              <w:rFonts w:hint="eastAsia"/>
              <w:lang w:val="en-US" w:eastAsia="zh-CN"/>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_Toc14294 \h </w:instrText>
          </w:r>
          <w:r>
            <w:fldChar w:fldCharType="separate"/>
          </w:r>
          <w:r>
            <w:t>3</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_Toc32067 </w:instrText>
          </w:r>
          <w:r>
            <w:rPr>
              <w:rFonts w:hint="eastAsia"/>
              <w:lang w:val="en-US" w:eastAsia="zh-CN"/>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_Toc32067 \h </w:instrText>
          </w:r>
          <w:r>
            <w:fldChar w:fldCharType="separate"/>
          </w:r>
          <w:r>
            <w:t>3</w:t>
          </w:r>
          <w:r>
            <w:fldChar w:fldCharType="end"/>
          </w:r>
          <w:r>
            <w:rPr>
              <w:rFonts w:hint="eastAsia"/>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_Toc23936 </w:instrText>
          </w:r>
          <w:r>
            <w:rPr>
              <w:rFonts w:hint="eastAsia"/>
              <w:b/>
              <w:lang w:val="en-US" w:eastAsia="zh-CN"/>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_Toc23936 \h </w:instrText>
          </w:r>
          <w:r>
            <w:rPr>
              <w:b/>
            </w:rPr>
            <w:fldChar w:fldCharType="separate"/>
          </w:r>
          <w:r>
            <w:rPr>
              <w:b/>
            </w:rPr>
            <w:t>4</w:t>
          </w:r>
          <w:r>
            <w:rPr>
              <w:b/>
            </w:rPr>
            <w:fldChar w:fldCharType="end"/>
          </w:r>
          <w:r>
            <w:rPr>
              <w:rFonts w:hint="eastAsia"/>
              <w:b/>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_Toc17194 </w:instrText>
          </w:r>
          <w:r>
            <w:rPr>
              <w:rFonts w:hint="eastAsia"/>
              <w:b/>
              <w:lang w:val="en-US" w:eastAsia="zh-CN"/>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_Toc17194 \h </w:instrText>
          </w:r>
          <w:r>
            <w:rPr>
              <w:b/>
            </w:rPr>
            <w:fldChar w:fldCharType="separate"/>
          </w:r>
          <w:r>
            <w:rPr>
              <w:b/>
            </w:rPr>
            <w:t>4</w:t>
          </w:r>
          <w:r>
            <w:rPr>
              <w:b/>
            </w:rPr>
            <w:fldChar w:fldCharType="end"/>
          </w:r>
          <w:r>
            <w:rPr>
              <w:rFonts w:hint="eastAsia"/>
              <w:b/>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_Toc30522 </w:instrText>
          </w:r>
          <w:r>
            <w:rPr>
              <w:rFonts w:hint="eastAsia"/>
              <w:lang w:val="en-US" w:eastAsia="zh-CN"/>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_Toc30522 \h </w:instrText>
          </w:r>
          <w:r>
            <w:fldChar w:fldCharType="separate"/>
          </w:r>
          <w:r>
            <w:t>4</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_Toc845 </w:instrText>
          </w:r>
          <w:r>
            <w:rPr>
              <w:rFonts w:hint="eastAsia"/>
              <w:lang w:val="en-US" w:eastAsia="zh-CN"/>
            </w:rPr>
            <w:fldChar w:fldCharType="separate"/>
          </w:r>
          <w:r>
            <w:rPr>
              <w:rFonts w:hint="eastAsia" w:ascii="楷体_GB2312" w:hAnsi="楷体_GB2312" w:eastAsia="楷体_GB2312" w:cs="楷体_GB2312"/>
              <w:szCs w:val="32"/>
              <w:lang w:val="en-US" w:eastAsia="zh-CN"/>
            </w:rPr>
            <w:t>（二）公务用车购置及运行维护费</w:t>
          </w:r>
          <w:r>
            <w:tab/>
          </w:r>
          <w:r>
            <w:fldChar w:fldCharType="begin"/>
          </w:r>
          <w:r>
            <w:instrText xml:space="preserve"> PAGEREF _Toc845 \h </w:instrText>
          </w:r>
          <w:r>
            <w:fldChar w:fldCharType="separate"/>
          </w:r>
          <w:r>
            <w:t>4</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_Toc8189 </w:instrText>
          </w:r>
          <w:r>
            <w:rPr>
              <w:rFonts w:hint="eastAsia"/>
              <w:lang w:val="en-US" w:eastAsia="zh-CN"/>
            </w:rPr>
            <w:fldChar w:fldCharType="separate"/>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_Toc8189 \h </w:instrText>
          </w:r>
          <w:r>
            <w:fldChar w:fldCharType="separate"/>
          </w:r>
          <w:r>
            <w:t>5</w:t>
          </w:r>
          <w:r>
            <w:fldChar w:fldCharType="end"/>
          </w:r>
          <w:r>
            <w:rPr>
              <w:rFonts w:hint="eastAsia"/>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_Toc6694 </w:instrText>
          </w:r>
          <w:r>
            <w:rPr>
              <w:rFonts w:hint="eastAsia"/>
              <w:b/>
              <w:lang w:val="en-US" w:eastAsia="zh-CN"/>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_Toc6694 \h </w:instrText>
          </w:r>
          <w:r>
            <w:rPr>
              <w:b/>
            </w:rPr>
            <w:fldChar w:fldCharType="separate"/>
          </w:r>
          <w:r>
            <w:rPr>
              <w:b/>
            </w:rPr>
            <w:t>5</w:t>
          </w:r>
          <w:r>
            <w:rPr>
              <w:b/>
            </w:rPr>
            <w:fldChar w:fldCharType="end"/>
          </w:r>
          <w:r>
            <w:rPr>
              <w:rFonts w:hint="eastAsia"/>
              <w:b/>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_Toc16947 </w:instrText>
          </w:r>
          <w:r>
            <w:rPr>
              <w:rFonts w:hint="eastAsia"/>
              <w:b/>
              <w:lang w:val="en-US" w:eastAsia="zh-CN"/>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_Toc16947 \h </w:instrText>
          </w:r>
          <w:r>
            <w:rPr>
              <w:b/>
            </w:rPr>
            <w:fldChar w:fldCharType="separate"/>
          </w:r>
          <w:r>
            <w:rPr>
              <w:b/>
            </w:rPr>
            <w:t>5</w:t>
          </w:r>
          <w:r>
            <w:rPr>
              <w:b/>
            </w:rPr>
            <w:fldChar w:fldCharType="end"/>
          </w:r>
          <w:r>
            <w:rPr>
              <w:rFonts w:hint="eastAsia"/>
              <w:b/>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_Toc12516 </w:instrText>
          </w:r>
          <w:r>
            <w:rPr>
              <w:rFonts w:hint="eastAsia"/>
              <w:b/>
              <w:lang w:val="en-US" w:eastAsia="zh-CN"/>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_Toc12516 \h </w:instrText>
          </w:r>
          <w:r>
            <w:rPr>
              <w:b/>
            </w:rPr>
            <w:fldChar w:fldCharType="separate"/>
          </w:r>
          <w:r>
            <w:rPr>
              <w:b/>
            </w:rPr>
            <w:t>5</w:t>
          </w:r>
          <w:r>
            <w:rPr>
              <w:b/>
            </w:rPr>
            <w:fldChar w:fldCharType="end"/>
          </w:r>
          <w:r>
            <w:rPr>
              <w:rFonts w:hint="eastAsia"/>
              <w:b/>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_Toc28919 </w:instrText>
          </w:r>
          <w:r>
            <w:rPr>
              <w:rFonts w:hint="eastAsia"/>
              <w:lang w:val="en-US" w:eastAsia="zh-CN"/>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_Toc28919 \h </w:instrText>
          </w:r>
          <w:r>
            <w:fldChar w:fldCharType="separate"/>
          </w:r>
          <w:r>
            <w:t>5</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_Toc2616 </w:instrText>
          </w:r>
          <w:r>
            <w:rPr>
              <w:rFonts w:hint="eastAsia"/>
              <w:lang w:val="en-US" w:eastAsia="zh-CN"/>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_Toc2616 \h </w:instrText>
          </w:r>
          <w:r>
            <w:fldChar w:fldCharType="separate"/>
          </w:r>
          <w:r>
            <w:t>5</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_Toc30771 </w:instrText>
          </w:r>
          <w:r>
            <w:rPr>
              <w:rFonts w:hint="eastAsia"/>
              <w:lang w:val="en-US" w:eastAsia="zh-CN"/>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_Toc30771 \h </w:instrText>
          </w:r>
          <w:r>
            <w:fldChar w:fldCharType="separate"/>
          </w:r>
          <w:r>
            <w:t>5</w:t>
          </w:r>
          <w:r>
            <w:fldChar w:fldCharType="end"/>
          </w:r>
          <w:r>
            <w:rPr>
              <w:rFonts w:hint="eastAsia"/>
              <w:lang w:val="en-US" w:eastAsia="zh-CN"/>
            </w:rPr>
            <w:fldChar w:fldCharType="end"/>
          </w:r>
        </w:p>
        <w:p>
          <w:pPr>
            <w:pStyle w:val="19"/>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_Toc28285 </w:instrText>
          </w:r>
          <w:r>
            <w:rPr>
              <w:rFonts w:hint="eastAsia"/>
              <w:lang w:val="en-US" w:eastAsia="zh-CN"/>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_Toc28285 \h </w:instrText>
          </w:r>
          <w:r>
            <w:fldChar w:fldCharType="separate"/>
          </w:r>
          <w:r>
            <w:t>6</w:t>
          </w:r>
          <w:r>
            <w:fldChar w:fldCharType="end"/>
          </w:r>
          <w:r>
            <w:rPr>
              <w:rFonts w:hint="eastAsia"/>
              <w:lang w:val="en-US" w:eastAsia="zh-CN"/>
            </w:rPr>
            <w:fldChar w:fldCharType="end"/>
          </w:r>
        </w:p>
        <w:p>
          <w:pPr>
            <w:pStyle w:val="18"/>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_Toc17055 </w:instrText>
          </w:r>
          <w:r>
            <w:rPr>
              <w:rFonts w:hint="eastAsia"/>
              <w:b/>
              <w:lang w:val="en-US" w:eastAsia="zh-CN"/>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_Toc17055 \h </w:instrText>
          </w:r>
          <w:r>
            <w:rPr>
              <w:b/>
            </w:rPr>
            <w:fldChar w:fldCharType="separate"/>
          </w:r>
          <w:r>
            <w:rPr>
              <w:b/>
            </w:rPr>
            <w:t>6</w:t>
          </w:r>
          <w:r>
            <w:rPr>
              <w:b/>
            </w:rPr>
            <w:fldChar w:fldCharType="end"/>
          </w:r>
          <w:r>
            <w:rPr>
              <w:rFonts w:hint="eastAsia"/>
              <w:b/>
              <w:lang w:val="en-US" w:eastAsia="zh-CN"/>
            </w:rPr>
            <w:fldChar w:fldCharType="end"/>
          </w:r>
        </w:p>
        <w:p>
          <w:pPr>
            <w:pStyle w:val="2"/>
            <w:pageBreakBefore w:val="0"/>
            <w:kinsoku/>
            <w:wordWrap/>
            <w:overflowPunct/>
            <w:topLinePunct w:val="0"/>
            <w:autoSpaceDE/>
            <w:autoSpaceDN/>
            <w:bidi w:val="0"/>
            <w:adjustRightInd/>
            <w:snapToGrid/>
            <w:spacing w:line="460" w:lineRule="exact"/>
            <w:textAlignment w:val="auto"/>
            <w:outlineLvl w:val="9"/>
            <w:rPr>
              <w:rFonts w:hint="eastAsia" w:ascii="黑体" w:hAnsi="黑体" w:eastAsia="黑体" w:cs="黑体"/>
              <w:sz w:val="32"/>
              <w:szCs w:val="32"/>
              <w:lang w:val="en-US" w:eastAsia="zh-CN"/>
            </w:rPr>
            <w:sectPr>
              <w:pgSz w:w="11906" w:h="16838"/>
              <w:pgMar w:top="2098" w:right="1474" w:bottom="1984" w:left="1587" w:header="720" w:footer="1559" w:gutter="0"/>
              <w:pgNumType w:fmt="decimal"/>
              <w:cols w:space="720" w:num="1"/>
              <w:docGrid w:type="lines" w:linePitch="312" w:charSpace="0"/>
            </w:sectPr>
          </w:pPr>
          <w:r>
            <w:rPr>
              <w:rFonts w:hint="eastAsia"/>
              <w:b/>
              <w:lang w:val="en-US" w:eastAsia="zh-CN"/>
            </w:rPr>
            <w:fldChar w:fldCharType="end"/>
          </w:r>
          <w:bookmarkStart w:id="1" w:name="_Toc27464"/>
          <w:bookmarkStart w:id="2" w:name="_Toc5966"/>
        </w:p>
      </w:sdtContent>
    </w:sdt>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 w:name="_Toc26768"/>
      <w:r>
        <w:rPr>
          <w:rFonts w:hint="eastAsia" w:ascii="黑体" w:hAnsi="黑体" w:eastAsia="黑体" w:cs="黑体"/>
          <w:sz w:val="32"/>
          <w:szCs w:val="32"/>
          <w:lang w:val="en-US" w:eastAsia="zh-CN"/>
        </w:rPr>
        <w:t>一、基本职能及主要工作</w:t>
      </w:r>
      <w:bookmarkEnd w:id="1"/>
      <w:bookmarkEnd w:id="2"/>
      <w:bookmarkEnd w:id="3"/>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420" w:leftChars="0"/>
        <w:textAlignment w:val="auto"/>
        <w:outlineLvl w:val="1"/>
        <w:rPr>
          <w:rFonts w:hint="eastAsia" w:ascii="楷体_GB2312" w:hAnsi="楷体_GB2312" w:eastAsia="楷体_GB2312" w:cs="楷体_GB2312"/>
          <w:sz w:val="32"/>
          <w:szCs w:val="32"/>
        </w:rPr>
      </w:pPr>
      <w:bookmarkStart w:id="4" w:name="_Toc29757"/>
      <w:bookmarkStart w:id="5" w:name="_Toc26265"/>
      <w:bookmarkStart w:id="6" w:name="_Toc21482"/>
      <w:r>
        <w:rPr>
          <w:rFonts w:hint="eastAsia" w:ascii="楷体_GB2312" w:hAnsi="楷体_GB2312" w:eastAsia="楷体_GB2312" w:cs="楷体_GB2312"/>
          <w:sz w:val="32"/>
          <w:szCs w:val="32"/>
          <w:lang w:val="en-US" w:eastAsia="zh-CN"/>
        </w:rPr>
        <w:t>（一）广元市中医药发展服务中心</w:t>
      </w:r>
      <w:r>
        <w:rPr>
          <w:rFonts w:hint="eastAsia" w:ascii="楷体_GB2312" w:hAnsi="楷体_GB2312" w:eastAsia="楷体_GB2312" w:cs="楷体_GB2312"/>
          <w:sz w:val="32"/>
          <w:szCs w:val="32"/>
        </w:rPr>
        <w:t>职能简介</w:t>
      </w:r>
      <w:bookmarkEnd w:id="4"/>
      <w:bookmarkEnd w:id="5"/>
      <w:bookmarkEnd w:id="6"/>
    </w:p>
    <w:p>
      <w:pPr>
        <w:keepNext w:val="0"/>
        <w:keepLines w:val="0"/>
        <w:pageBreakBefore w:val="0"/>
        <w:widowControl w:val="0"/>
        <w:numPr>
          <w:ilvl w:val="0"/>
          <w:numId w:val="0"/>
        </w:numP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具体承担中医药传承与发展研究、健康服务标准应用、中医药适宜技术推广、交流合作、信息服务等事务性工作。</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420" w:leftChars="0"/>
        <w:textAlignment w:val="auto"/>
        <w:outlineLvl w:val="1"/>
        <w:rPr>
          <w:rFonts w:hint="eastAsia" w:ascii="楷体_GB2312" w:hAnsi="楷体_GB2312" w:eastAsia="楷体_GB2312" w:cs="楷体_GB2312"/>
          <w:sz w:val="32"/>
          <w:szCs w:val="32"/>
          <w:lang w:val="en-US" w:eastAsia="zh-CN"/>
        </w:rPr>
      </w:pPr>
      <w:bookmarkStart w:id="7" w:name="_Toc13272"/>
      <w:bookmarkStart w:id="8" w:name="_Toc2517"/>
      <w:bookmarkStart w:id="9" w:name="_Toc17768"/>
      <w:r>
        <w:rPr>
          <w:rFonts w:hint="eastAsia" w:ascii="楷体_GB2312" w:hAnsi="楷体_GB2312" w:eastAsia="楷体_GB2312" w:cs="楷体_GB2312"/>
          <w:sz w:val="32"/>
          <w:szCs w:val="32"/>
          <w:lang w:val="en-US" w:eastAsia="zh-CN"/>
        </w:rPr>
        <w:t>（二）广元市中医药发展服务中心2024年重点工作</w:t>
      </w:r>
      <w:bookmarkEnd w:id="7"/>
      <w:bookmarkEnd w:id="8"/>
      <w:bookmarkEnd w:id="9"/>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楷体_GB2312" w:hAnsi="楷体_GB2312" w:eastAsia="楷体_GB2312" w:cs="楷体_GB2312"/>
          <w:b w:val="0"/>
          <w:bCs w:val="0"/>
          <w:sz w:val="32"/>
          <w:szCs w:val="32"/>
          <w:lang w:val="en-US" w:eastAsia="zh-CN"/>
        </w:rPr>
        <w:t>1.</w:t>
      </w:r>
      <w:r>
        <w:rPr>
          <w:rFonts w:hint="eastAsia" w:ascii="楷体_GB2312" w:hAnsi="楷体_GB2312" w:eastAsia="楷体_GB2312" w:cs="楷体_GB2312"/>
          <w:b w:val="0"/>
          <w:bCs w:val="0"/>
          <w:sz w:val="32"/>
          <w:szCs w:val="32"/>
          <w:lang w:eastAsia="zh-CN"/>
        </w:rPr>
        <w:t>加强中医药干部队伍建设</w:t>
      </w:r>
      <w:r>
        <w:rPr>
          <w:rFonts w:hint="eastAsia" w:ascii="仿宋_GB2312" w:hAnsi="仿宋_GB2312" w:eastAsia="仿宋_GB2312" w:cs="仿宋_GB2312"/>
          <w:b w:val="0"/>
          <w:bCs w:val="0"/>
          <w:sz w:val="32"/>
          <w:szCs w:val="32"/>
          <w:lang w:eastAsia="zh-CN"/>
        </w:rPr>
        <w:t>。加强干部职工政治学习教育和廉洁教育，把讲政治、树清风、讲奉献、促发展作为中心第一要务来抓。认真研究新形势下做好中医药改革工作的思路、方法、手段，把市卫生健康委下放后的中医药业务，作为干部职工学习培训的重点来抓，及早学习，及时跟进。将理论与业务相结合，努力建设一支能打仗、打胜仗的优秀中医药干部队伍，为更好地服务全市中医药发展大局奠定扎实基础。</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楷体_GB2312" w:hAnsi="楷体_GB2312" w:eastAsia="楷体_GB2312" w:cs="楷体_GB2312"/>
          <w:b w:val="0"/>
          <w:bCs w:val="0"/>
          <w:sz w:val="32"/>
          <w:szCs w:val="32"/>
          <w:lang w:val="en-US" w:eastAsia="zh-CN"/>
        </w:rPr>
        <w:t>2.</w:t>
      </w:r>
      <w:r>
        <w:rPr>
          <w:rFonts w:hint="eastAsia" w:ascii="楷体_GB2312" w:hAnsi="楷体_GB2312" w:eastAsia="楷体_GB2312" w:cs="楷体_GB2312"/>
          <w:b w:val="0"/>
          <w:bCs w:val="0"/>
          <w:sz w:val="32"/>
          <w:szCs w:val="32"/>
          <w:lang w:eastAsia="zh-CN"/>
        </w:rPr>
        <w:t>促进中医药传承创新发展</w:t>
      </w:r>
      <w:r>
        <w:rPr>
          <w:rFonts w:hint="eastAsia" w:ascii="仿宋_GB2312" w:hAnsi="仿宋_GB2312" w:eastAsia="仿宋_GB2312" w:cs="仿宋_GB2312"/>
          <w:b w:val="0"/>
          <w:bCs w:val="0"/>
          <w:sz w:val="32"/>
          <w:szCs w:val="32"/>
          <w:lang w:eastAsia="zh-CN"/>
        </w:rPr>
        <w:t>。加强中医药传承与保护，弘扬中医药文化，持续做好中医药传统知识收集与整理，助推传统医药制作技艺和疗法传承发展。促进中医药文化宣传普及，加快推进中医药文化传播基地建设，鼓励建设中医药文化长廊，组织开展中医药文化科普活动，持续推进中医药文化进基层。</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楷体_GB2312" w:hAnsi="楷体_GB2312" w:eastAsia="楷体_GB2312" w:cs="楷体_GB2312"/>
          <w:b w:val="0"/>
          <w:bCs w:val="0"/>
          <w:sz w:val="32"/>
          <w:szCs w:val="32"/>
          <w:lang w:val="en-US" w:eastAsia="zh-CN"/>
        </w:rPr>
        <w:t>3.增强中医药发展活力动力</w:t>
      </w:r>
      <w:r>
        <w:rPr>
          <w:rFonts w:hint="eastAsia" w:ascii="仿宋_GB2312" w:hAnsi="仿宋_GB2312" w:eastAsia="仿宋_GB2312" w:cs="仿宋_GB2312"/>
          <w:b w:val="0"/>
          <w:bCs w:val="0"/>
          <w:sz w:val="32"/>
          <w:szCs w:val="32"/>
          <w:lang w:val="en-US" w:eastAsia="zh-CN"/>
        </w:rPr>
        <w:t>。积极抢抓发展机遇，密切关注省市中医药发展政策变动趋向，提前谋划，主动对接，加强与各单位沟通协调，在市卫生健康委引领下，多措并举积极向上争取资金，为全面</w:t>
      </w:r>
      <w:r>
        <w:rPr>
          <w:rFonts w:hint="eastAsia" w:ascii="仿宋_GB2312" w:hAnsi="仿宋_GB2312" w:eastAsia="仿宋_GB2312" w:cs="仿宋_GB2312"/>
          <w:b w:val="0"/>
          <w:bCs w:val="0"/>
          <w:sz w:val="32"/>
          <w:szCs w:val="32"/>
          <w:lang w:eastAsia="zh-CN"/>
        </w:rPr>
        <w:t>提升中医药发展服务能力和水平提供资金支撑保障，为建设川陕甘结合部区域医疗中心贡献力量。</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0" w:name="_Toc19560"/>
      <w:bookmarkStart w:id="11" w:name="_Toc31446"/>
      <w:bookmarkStart w:id="12" w:name="_Toc21689"/>
      <w:r>
        <w:rPr>
          <w:rFonts w:hint="eastAsia" w:ascii="黑体" w:hAnsi="黑体" w:eastAsia="黑体" w:cs="黑体"/>
          <w:sz w:val="32"/>
          <w:szCs w:val="32"/>
          <w:lang w:val="en-US" w:eastAsia="zh-CN"/>
        </w:rPr>
        <w:t>二、单位预算单位构成</w:t>
      </w:r>
      <w:bookmarkEnd w:id="10"/>
      <w:bookmarkEnd w:id="11"/>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我单位为广元市卫生健康委员会的下属二级预算单位，本单位无下属机构，内设科室3个。</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3" w:name="_Toc11455"/>
      <w:bookmarkStart w:id="14" w:name="_Toc2276"/>
      <w:bookmarkStart w:id="15" w:name="_Toc16411"/>
      <w:r>
        <w:rPr>
          <w:rFonts w:hint="eastAsia" w:ascii="黑体" w:hAnsi="黑体" w:eastAsia="黑体" w:cs="黑体"/>
          <w:sz w:val="32"/>
          <w:szCs w:val="32"/>
          <w:lang w:val="en-US" w:eastAsia="zh-CN"/>
        </w:rPr>
        <w:t>三、收支预算情况说明</w:t>
      </w:r>
      <w:bookmarkEnd w:id="13"/>
      <w:bookmarkEnd w:id="14"/>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广元市中医药发展服务中心所有收入和支出均纳入单位预算管理。收入包括：一般公共预算拨款收入；支出包括：社会保障和就业支出、卫生健康支出、住房保障支出。广元市中医药发展服务中心2024年收支预算总数115.31万元，比2023年收支预算总数105.72万元增加9.59万元，主要原因是单位机改新增了项目资金。</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420" w:leftChars="0"/>
        <w:textAlignment w:val="auto"/>
        <w:outlineLvl w:val="1"/>
        <w:rPr>
          <w:rFonts w:hint="eastAsia" w:ascii="楷体_GB2312" w:hAnsi="楷体_GB2312" w:eastAsia="楷体_GB2312" w:cs="楷体_GB2312"/>
          <w:sz w:val="32"/>
          <w:szCs w:val="32"/>
          <w:lang w:val="en-US" w:eastAsia="zh-CN"/>
        </w:rPr>
      </w:pPr>
      <w:bookmarkStart w:id="16" w:name="_Toc6202"/>
      <w:bookmarkStart w:id="17" w:name="_Toc19673"/>
      <w:bookmarkStart w:id="18" w:name="_Toc9192"/>
      <w:r>
        <w:rPr>
          <w:rFonts w:hint="eastAsia" w:ascii="楷体_GB2312" w:hAnsi="楷体_GB2312" w:eastAsia="楷体_GB2312" w:cs="楷体_GB2312"/>
          <w:sz w:val="32"/>
          <w:szCs w:val="32"/>
          <w:lang w:val="en-US" w:eastAsia="zh-CN"/>
        </w:rPr>
        <w:t>（一）收入预算情况</w:t>
      </w:r>
      <w:bookmarkEnd w:id="16"/>
      <w:bookmarkEnd w:id="17"/>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广元市中医药发展服务中心2024年收入预算115.31万元，其中：一般公共预算拨款收入115.31万元，占100%。</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420" w:leftChars="0"/>
        <w:textAlignment w:val="auto"/>
        <w:outlineLvl w:val="1"/>
        <w:rPr>
          <w:rFonts w:hint="eastAsia" w:ascii="楷体_GB2312" w:hAnsi="楷体_GB2312" w:eastAsia="楷体_GB2312" w:cs="楷体_GB2312"/>
          <w:sz w:val="32"/>
          <w:szCs w:val="32"/>
          <w:lang w:val="en-US" w:eastAsia="zh-CN"/>
        </w:rPr>
      </w:pPr>
      <w:bookmarkStart w:id="19" w:name="_Toc11169"/>
      <w:bookmarkStart w:id="20" w:name="_Toc26531"/>
      <w:bookmarkStart w:id="21" w:name="_Toc28882"/>
      <w:r>
        <w:rPr>
          <w:rFonts w:hint="eastAsia" w:ascii="楷体_GB2312" w:hAnsi="楷体_GB2312" w:eastAsia="楷体_GB2312" w:cs="楷体_GB2312"/>
          <w:sz w:val="32"/>
          <w:szCs w:val="32"/>
          <w:lang w:val="en-US" w:eastAsia="zh-CN"/>
        </w:rPr>
        <w:t>（二）支出预算情况</w:t>
      </w:r>
      <w:bookmarkEnd w:id="19"/>
      <w:bookmarkEnd w:id="20"/>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广元市中医药发展服务中心2024年支出预算115.31万元，其中：基本支出105.31万元，占91.33%；项目支出10万元，占8.67%</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2" w:name="_Toc2741"/>
      <w:bookmarkStart w:id="23" w:name="_Toc17240"/>
      <w:bookmarkStart w:id="24" w:name="_Toc8848"/>
      <w:r>
        <w:rPr>
          <w:rFonts w:hint="eastAsia" w:ascii="黑体" w:hAnsi="黑体" w:eastAsia="黑体" w:cs="黑体"/>
          <w:sz w:val="32"/>
          <w:szCs w:val="32"/>
          <w:lang w:val="en-US" w:eastAsia="zh-CN"/>
        </w:rPr>
        <w:t>四、财政拨款收支预算情况说明</w:t>
      </w:r>
      <w:bookmarkEnd w:id="22"/>
      <w:bookmarkEnd w:id="23"/>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广元市中医药发展服务中心2024年财政拨款收支预算总数115.31万元，比2023年财政拨款收支预算总数105.72万元增加9.59万元，主要原因是单位机改新增了项目资金。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收入包括：本年一般公共预算拨款收入115.31万元；支出包括：社会保障和就业支出8.88万元、卫生健康支出98.76万元、住房保障支出7.67万元。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5" w:name="_Toc19420"/>
      <w:bookmarkStart w:id="26" w:name="_Toc4386"/>
      <w:bookmarkStart w:id="27" w:name="_Toc32660"/>
      <w:r>
        <w:rPr>
          <w:rFonts w:hint="eastAsia" w:ascii="黑体" w:hAnsi="黑体" w:eastAsia="黑体" w:cs="黑体"/>
          <w:sz w:val="32"/>
          <w:szCs w:val="32"/>
          <w:lang w:val="en-US" w:eastAsia="zh-CN"/>
        </w:rPr>
        <w:t>五、一般公共预算当年拨款情况说明</w:t>
      </w:r>
      <w:bookmarkEnd w:id="25"/>
      <w:bookmarkEnd w:id="26"/>
      <w:bookmarkEnd w:id="27"/>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420" w:leftChars="0"/>
        <w:textAlignment w:val="auto"/>
        <w:outlineLvl w:val="1"/>
        <w:rPr>
          <w:rFonts w:hint="eastAsia" w:ascii="楷体_GB2312" w:hAnsi="楷体_GB2312" w:eastAsia="楷体_GB2312" w:cs="楷体_GB2312"/>
          <w:sz w:val="32"/>
          <w:szCs w:val="32"/>
          <w:lang w:val="en-US" w:eastAsia="zh-CN"/>
        </w:rPr>
      </w:pPr>
      <w:bookmarkStart w:id="28" w:name="_Toc13083"/>
      <w:bookmarkStart w:id="29" w:name="_Toc4367"/>
      <w:bookmarkStart w:id="30" w:name="_Toc7869"/>
      <w:r>
        <w:rPr>
          <w:rFonts w:hint="eastAsia" w:ascii="楷体_GB2312" w:hAnsi="楷体_GB2312" w:eastAsia="楷体_GB2312" w:cs="楷体_GB2312"/>
          <w:sz w:val="32"/>
          <w:szCs w:val="32"/>
          <w:lang w:val="en-US" w:eastAsia="zh-CN"/>
        </w:rPr>
        <w:t>（一）一般公共预算当年拨款规模变化情况</w:t>
      </w:r>
      <w:bookmarkEnd w:id="28"/>
      <w:bookmarkEnd w:id="29"/>
      <w:bookmarkEnd w:id="3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广元市中医药发展服务中心2024年一般公共预算当年拨款115.31万元，比2023年预算数105.72万元增加9.59万元，主要原因是单位机改新增了项目资金。</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420" w:leftChars="0"/>
        <w:textAlignment w:val="auto"/>
        <w:outlineLvl w:val="1"/>
        <w:rPr>
          <w:rFonts w:hint="eastAsia" w:ascii="楷体_GB2312" w:hAnsi="楷体_GB2312" w:eastAsia="楷体_GB2312" w:cs="楷体_GB2312"/>
          <w:sz w:val="32"/>
          <w:szCs w:val="32"/>
          <w:lang w:val="en-US" w:eastAsia="zh-CN"/>
        </w:rPr>
      </w:pPr>
      <w:bookmarkStart w:id="31" w:name="_Toc7456"/>
      <w:bookmarkStart w:id="32" w:name="_Toc16360"/>
      <w:bookmarkStart w:id="33" w:name="_Toc14294"/>
      <w:r>
        <w:rPr>
          <w:rFonts w:hint="eastAsia" w:ascii="楷体_GB2312" w:hAnsi="楷体_GB2312" w:eastAsia="楷体_GB2312" w:cs="楷体_GB2312"/>
          <w:sz w:val="32"/>
          <w:szCs w:val="32"/>
          <w:lang w:val="en-US" w:eastAsia="zh-CN"/>
        </w:rPr>
        <w:t>（二）一般公共预算当年拨款结构情况</w:t>
      </w:r>
      <w:bookmarkEnd w:id="31"/>
      <w:bookmarkEnd w:id="32"/>
      <w:bookmarkEnd w:id="3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社会保障和就业支出8.88万元，占7.70%；卫生健康支出98.76万元，占85.65%；住房保障支出7.67万元，占6.65%。</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420" w:leftChars="0"/>
        <w:textAlignment w:val="auto"/>
        <w:outlineLvl w:val="1"/>
        <w:rPr>
          <w:rFonts w:hint="eastAsia" w:ascii="楷体_GB2312" w:hAnsi="楷体_GB2312" w:eastAsia="楷体_GB2312" w:cs="楷体_GB2312"/>
          <w:sz w:val="32"/>
          <w:szCs w:val="32"/>
          <w:lang w:val="en-US" w:eastAsia="zh-CN"/>
        </w:rPr>
      </w:pPr>
      <w:bookmarkStart w:id="34" w:name="_Toc17683"/>
      <w:bookmarkStart w:id="35" w:name="_Toc17169"/>
      <w:bookmarkStart w:id="36" w:name="_Toc32067"/>
      <w:r>
        <w:rPr>
          <w:rFonts w:hint="eastAsia" w:ascii="楷体_GB2312" w:hAnsi="楷体_GB2312" w:eastAsia="楷体_GB2312" w:cs="楷体_GB2312"/>
          <w:sz w:val="32"/>
          <w:szCs w:val="32"/>
          <w:lang w:val="en-US" w:eastAsia="zh-CN"/>
        </w:rPr>
        <w:t>（三）一般公共预算当年拨款具体使用情况</w:t>
      </w:r>
      <w:bookmarkEnd w:id="34"/>
      <w:bookmarkEnd w:id="35"/>
      <w:bookmarkEnd w:id="3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1.社会保障和就业（类）行政事业单位养老支出（款）机关事业单位基本养老保险缴费支出（项）2024年预算数为8.88万元，主要用于：实施养老保险制度由单位缴纳的基本养老保险支出。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2.卫生健康（类）行政事业单位医疗（款）事业单位医疗（项）2024年预算数为2.79万元，主要用于：事业单位按规定由单位缴纳的基本医疗保险支出。</w:t>
      </w:r>
    </w:p>
    <w:p>
      <w:pPr>
        <w:keepNext w:val="0"/>
        <w:keepLines w:val="0"/>
        <w:widowControl/>
        <w:suppressLineNumbers w:val="0"/>
        <w:shd w:val="clear"/>
        <w:spacing w:before="75" w:beforeAutospacing="0" w:after="75" w:afterAutospacing="0"/>
        <w:ind w:left="0" w:right="0" w:firstLine="640"/>
        <w:jc w:val="left"/>
        <w:rPr>
          <w:rFonts w:hint="eastAsia"/>
          <w:highlight w:val="none"/>
          <w:lang w:val="en-US" w:eastAsia="zh-CN"/>
        </w:rPr>
      </w:pPr>
      <w:r>
        <w:rPr>
          <w:rFonts w:hint="eastAsia" w:ascii="仿宋_GB2312" w:eastAsia="仿宋_GB2312" w:cstheme="minorBidi"/>
          <w:kern w:val="2"/>
          <w:sz w:val="32"/>
          <w:szCs w:val="32"/>
          <w:highlight w:val="none"/>
          <w:lang w:val="en-US" w:eastAsia="zh-CN" w:bidi="ar-SA"/>
        </w:rPr>
        <w:t>3</w:t>
      </w:r>
      <w:r>
        <w:rPr>
          <w:rFonts w:hint="default" w:ascii="仿宋_GB2312" w:eastAsia="仿宋_GB2312" w:hAnsiTheme="minorHAnsi" w:cstheme="minorBidi"/>
          <w:kern w:val="2"/>
          <w:sz w:val="32"/>
          <w:szCs w:val="32"/>
          <w:highlight w:val="none"/>
          <w:lang w:val="en-US" w:eastAsia="zh-CN" w:bidi="ar-SA"/>
        </w:rPr>
        <w:t>.卫生健康支出（类）</w:t>
      </w:r>
      <w:r>
        <w:rPr>
          <w:rFonts w:hint="eastAsia" w:ascii="仿宋_GB2312" w:eastAsia="仿宋_GB2312" w:hAnsiTheme="minorHAnsi" w:cstheme="minorBidi"/>
          <w:kern w:val="2"/>
          <w:sz w:val="32"/>
          <w:szCs w:val="32"/>
          <w:highlight w:val="none"/>
          <w:lang w:val="en-US" w:eastAsia="zh-CN" w:bidi="ar-SA"/>
        </w:rPr>
        <w:t>其他中医药事务支出</w:t>
      </w:r>
      <w:r>
        <w:rPr>
          <w:rFonts w:hint="default" w:ascii="仿宋_GB2312" w:eastAsia="仿宋_GB2312" w:hAnsiTheme="minorHAnsi" w:cstheme="minorBidi"/>
          <w:kern w:val="2"/>
          <w:sz w:val="32"/>
          <w:szCs w:val="32"/>
          <w:highlight w:val="none"/>
          <w:lang w:val="en-US" w:eastAsia="zh-CN" w:bidi="ar-SA"/>
        </w:rPr>
        <w:t>（款）</w:t>
      </w:r>
      <w:r>
        <w:rPr>
          <w:rFonts w:hint="eastAsia" w:ascii="仿宋_GB2312" w:eastAsia="仿宋_GB2312" w:hAnsiTheme="minorHAnsi" w:cstheme="minorBidi"/>
          <w:kern w:val="2"/>
          <w:sz w:val="32"/>
          <w:szCs w:val="32"/>
          <w:highlight w:val="none"/>
          <w:lang w:val="en-US" w:eastAsia="zh-CN" w:bidi="ar-SA"/>
        </w:rPr>
        <w:t>其他中医药事务支出</w:t>
      </w:r>
      <w:r>
        <w:rPr>
          <w:rFonts w:hint="default" w:ascii="仿宋_GB2312" w:eastAsia="仿宋_GB2312" w:hAnsiTheme="minorHAnsi" w:cstheme="minorBidi"/>
          <w:kern w:val="2"/>
          <w:sz w:val="32"/>
          <w:szCs w:val="32"/>
          <w:highlight w:val="none"/>
          <w:lang w:val="en-US" w:eastAsia="zh-CN" w:bidi="ar-SA"/>
        </w:rPr>
        <w:t>（项）</w:t>
      </w:r>
      <w:r>
        <w:rPr>
          <w:rFonts w:hint="eastAsia" w:ascii="仿宋_GB2312" w:eastAsia="仿宋_GB2312" w:cstheme="minorBidi"/>
          <w:kern w:val="2"/>
          <w:sz w:val="32"/>
          <w:szCs w:val="32"/>
          <w:highlight w:val="none"/>
          <w:lang w:val="en-US" w:eastAsia="zh-CN" w:bidi="ar-SA"/>
        </w:rPr>
        <w:t>2024年预算数为95.97万元，主要用于</w:t>
      </w:r>
      <w:r>
        <w:rPr>
          <w:rFonts w:hint="eastAsia" w:ascii="仿宋_GB2312" w:eastAsia="仿宋_GB2312" w:cstheme="minorBidi"/>
          <w:kern w:val="2"/>
          <w:sz w:val="32"/>
          <w:szCs w:val="32"/>
          <w:lang w:val="en-US" w:eastAsia="zh-CN" w:bidi="ar-SA"/>
        </w:rPr>
        <w:t>人员工资和单位运行以及</w:t>
      </w:r>
      <w:r>
        <w:rPr>
          <w:rFonts w:hint="eastAsia" w:ascii="仿宋_GB2312" w:eastAsia="仿宋_GB2312" w:hAnsiTheme="minorHAnsi" w:cstheme="minorBidi"/>
          <w:kern w:val="2"/>
          <w:sz w:val="32"/>
          <w:szCs w:val="32"/>
          <w:highlight w:val="none"/>
          <w:lang w:val="en-US" w:eastAsia="zh-CN" w:bidi="ar-SA"/>
        </w:rPr>
        <w:t>中医药发展工作</w:t>
      </w:r>
      <w:r>
        <w:rPr>
          <w:rFonts w:hint="default" w:ascii="仿宋_GB2312" w:eastAsia="仿宋_GB2312" w:hAnsiTheme="minorHAnsi" w:cstheme="minorBidi"/>
          <w:kern w:val="2"/>
          <w:sz w:val="32"/>
          <w:szCs w:val="32"/>
          <w:highlight w:val="none"/>
          <w:lang w:val="en-US" w:eastAsia="zh-CN" w:bidi="ar-SA"/>
        </w:rPr>
        <w:t>方面的支出。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4.住房保障（类）住房改革支出（款）住房公积金（项）2024年预算数为7.67万元，主要用于：单位按规定为职工缴纳的住房公积金支出。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7" w:name="_Toc22964"/>
      <w:bookmarkStart w:id="38" w:name="_Toc10581"/>
      <w:bookmarkStart w:id="39" w:name="_Toc23936"/>
      <w:r>
        <w:rPr>
          <w:rFonts w:hint="eastAsia" w:ascii="黑体" w:hAnsi="黑体" w:eastAsia="黑体" w:cs="黑体"/>
          <w:sz w:val="32"/>
          <w:szCs w:val="32"/>
          <w:lang w:val="en-US" w:eastAsia="zh-CN"/>
        </w:rPr>
        <w:t>六、一般公共预算基本支出情况说明</w:t>
      </w:r>
      <w:bookmarkEnd w:id="37"/>
      <w:bookmarkEnd w:id="38"/>
      <w:bookmarkEnd w:id="3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广元市中医药发展服务中心2024年一般公共预算基本支出105.31万元，其中：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人员经费95.38万元，主要包括：基本工资、津贴补贴、奖金、绩效工资、机关事业单位基本养老保险缴费、职工基本医疗保险缴费、其他社会保障缴费、住房公积金、生活补助等支出。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公用经费9.93万元，主要包括：办公费、水费、电费、邮电费、物业管理费、差旅费、维修（护）费、会议费、公务接待费、劳务费、工会经费、福利费、公务用车运行维护费、</w:t>
      </w:r>
      <w:r>
        <w:rPr>
          <w:rFonts w:hint="eastAsia" w:ascii="仿宋_GB2312" w:hAnsi="仿宋_GB2312" w:eastAsia="仿宋_GB2312" w:cs="仿宋_GB2312"/>
          <w:sz w:val="32"/>
          <w:szCs w:val="32"/>
          <w:highlight w:val="none"/>
          <w:lang w:val="en-US" w:eastAsia="zh-CN"/>
        </w:rPr>
        <w:t>其他商品和服务支出</w:t>
      </w:r>
      <w:r>
        <w:rPr>
          <w:rFonts w:hint="eastAsia" w:ascii="仿宋_GB2312" w:hAnsi="仿宋_GB2312" w:eastAsia="仿宋_GB2312" w:cs="仿宋_GB2312"/>
          <w:sz w:val="32"/>
          <w:szCs w:val="32"/>
          <w:lang w:val="en-US" w:eastAsia="zh-CN"/>
        </w:rPr>
        <w:t>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0" w:name="_Toc25492"/>
      <w:bookmarkStart w:id="41" w:name="_Toc8702"/>
      <w:bookmarkStart w:id="42" w:name="_Toc17194"/>
      <w:r>
        <w:rPr>
          <w:rFonts w:hint="eastAsia" w:ascii="黑体" w:hAnsi="黑体" w:eastAsia="黑体" w:cs="黑体"/>
          <w:sz w:val="32"/>
          <w:szCs w:val="32"/>
          <w:lang w:val="en-US" w:eastAsia="zh-CN"/>
        </w:rPr>
        <w:t>七、“三公”经费财政拨款预算安排情况说明</w:t>
      </w:r>
      <w:bookmarkEnd w:id="40"/>
      <w:bookmarkEnd w:id="41"/>
      <w:bookmarkEnd w:id="4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广元市中医药发展服务中心2024年“三公”经费财政拨款预算数0.95万元，其中：公务接待费0.15万元，公务用车购置及运行维护费0.8万元，</w:t>
      </w:r>
      <w:r>
        <w:rPr>
          <w:rFonts w:hint="eastAsia" w:ascii="仿宋_GB2312" w:hAnsi="仿宋_GB2312" w:eastAsia="仿宋_GB2312" w:cs="仿宋_GB2312"/>
          <w:sz w:val="32"/>
          <w:szCs w:val="32"/>
          <w:highlight w:val="none"/>
          <w:lang w:val="en-US" w:eastAsia="zh-CN"/>
        </w:rPr>
        <w:t>因公出国（境）经费0万元</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420" w:leftChars="0"/>
        <w:textAlignment w:val="auto"/>
        <w:outlineLvl w:val="1"/>
        <w:rPr>
          <w:rFonts w:hint="eastAsia" w:ascii="楷体_GB2312" w:hAnsi="楷体_GB2312" w:eastAsia="楷体_GB2312" w:cs="楷体_GB2312"/>
          <w:sz w:val="32"/>
          <w:szCs w:val="32"/>
          <w:lang w:val="en-US" w:eastAsia="zh-CN"/>
        </w:rPr>
      </w:pPr>
      <w:bookmarkStart w:id="43" w:name="_Toc30522"/>
      <w:r>
        <w:rPr>
          <w:rFonts w:hint="eastAsia" w:ascii="楷体_GB2312" w:hAnsi="楷体_GB2312" w:eastAsia="楷体_GB2312" w:cs="楷体_GB2312"/>
          <w:sz w:val="32"/>
          <w:szCs w:val="32"/>
          <w:lang w:val="en-US" w:eastAsia="zh-CN"/>
        </w:rPr>
        <w:t>（一）公务接待费</w:t>
      </w:r>
      <w:bookmarkEnd w:id="4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420" w:leftChars="0"/>
        <w:textAlignment w:val="auto"/>
        <w:outlineLvl w:val="1"/>
        <w:rPr>
          <w:rFonts w:hint="eastAsia" w:ascii="楷体_GB2312" w:hAnsi="楷体_GB2312" w:eastAsia="楷体_GB2312" w:cs="楷体_GB2312"/>
          <w:sz w:val="32"/>
          <w:szCs w:val="32"/>
          <w:lang w:val="en-US" w:eastAsia="zh-CN"/>
        </w:rPr>
      </w:pPr>
      <w:bookmarkStart w:id="44" w:name="_Toc845"/>
      <w:r>
        <w:rPr>
          <w:rFonts w:hint="eastAsia" w:ascii="楷体_GB2312" w:hAnsi="楷体_GB2312" w:eastAsia="楷体_GB2312" w:cs="楷体_GB2312"/>
          <w:sz w:val="32"/>
          <w:szCs w:val="32"/>
          <w:lang w:val="en-US" w:eastAsia="zh-CN"/>
        </w:rPr>
        <w:t>（二）公务用车购置及运行维护费</w:t>
      </w:r>
      <w:bookmarkEnd w:id="4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单位现有公务用车1辆，其中</w:t>
      </w:r>
      <w:r>
        <w:rPr>
          <w:rFonts w:hint="eastAsia" w:ascii="仿宋_GB2312" w:eastAsia="仿宋_GB2312"/>
          <w:sz w:val="32"/>
          <w:szCs w:val="32"/>
          <w:highlight w:val="none"/>
          <w:lang w:val="en-US" w:eastAsia="zh-CN"/>
        </w:rPr>
        <w:t>其他车型1辆</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default"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2024年安排公务用车运行维护费0.8万元，用于1辆公务用车燃油、过路（桥）、维修、保险等方面支出，主要保障</w:t>
      </w:r>
      <w:r>
        <w:rPr>
          <w:rFonts w:hint="eastAsia" w:ascii="仿宋_GB2312" w:hAnsi="仿宋_GB2312" w:eastAsia="仿宋_GB2312" w:cs="仿宋_GB2312"/>
          <w:sz w:val="32"/>
          <w:szCs w:val="32"/>
          <w:highlight w:val="none"/>
          <w:lang w:val="en-US" w:eastAsia="zh-CN"/>
        </w:rPr>
        <w:t>单位公务</w:t>
      </w:r>
      <w:r>
        <w:rPr>
          <w:rFonts w:hint="default" w:ascii="仿宋_GB2312" w:hAnsi="仿宋_GB2312" w:eastAsia="仿宋_GB2312" w:cs="仿宋_GB2312"/>
          <w:sz w:val="32"/>
          <w:szCs w:val="32"/>
          <w:highlight w:val="none"/>
          <w:lang w:val="en-US" w:eastAsia="zh-CN"/>
        </w:rPr>
        <w:t>活动顺畅进行</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420" w:leftChars="0"/>
        <w:textAlignment w:val="auto"/>
        <w:outlineLvl w:val="1"/>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w:t>
      </w:r>
      <w:bookmarkStart w:id="45" w:name="_Toc8189"/>
      <w:r>
        <w:rPr>
          <w:rFonts w:hint="eastAsia" w:ascii="楷体_GB2312" w:hAnsi="楷体_GB2312" w:eastAsia="楷体_GB2312" w:cs="楷体_GB2312"/>
          <w:sz w:val="32"/>
          <w:szCs w:val="32"/>
          <w:lang w:val="en-US" w:eastAsia="zh-CN"/>
        </w:rPr>
        <w:t>（三）因公出国（境）经费</w:t>
      </w:r>
      <w:bookmarkEnd w:id="4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因公出国（境）经费与2023年预算相持平，未安排预算资金。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6" w:name="_Toc1433"/>
      <w:bookmarkStart w:id="47" w:name="_Toc26393"/>
      <w:bookmarkStart w:id="48" w:name="_Toc6694"/>
      <w:r>
        <w:rPr>
          <w:rFonts w:hint="eastAsia" w:ascii="黑体" w:hAnsi="黑体" w:eastAsia="黑体" w:cs="黑体"/>
          <w:sz w:val="32"/>
          <w:szCs w:val="32"/>
          <w:lang w:val="en-US" w:eastAsia="zh-CN"/>
        </w:rPr>
        <w:t>八、政府性基金预算支出情况说明</w:t>
      </w:r>
      <w:bookmarkEnd w:id="46"/>
      <w:bookmarkEnd w:id="47"/>
      <w:bookmarkEnd w:id="4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广元市中医药发展服务中心2024年无政府性基金预算拨款安排的支出。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9" w:name="_Toc16948"/>
      <w:bookmarkStart w:id="50" w:name="_Toc20425"/>
      <w:bookmarkStart w:id="51" w:name="_Toc16947"/>
      <w:r>
        <w:rPr>
          <w:rFonts w:hint="eastAsia" w:ascii="黑体" w:hAnsi="黑体" w:eastAsia="黑体" w:cs="黑体"/>
          <w:sz w:val="32"/>
          <w:szCs w:val="32"/>
          <w:lang w:val="en-US" w:eastAsia="zh-CN"/>
        </w:rPr>
        <w:t>九、国有资本经营预算支出情况说明</w:t>
      </w:r>
      <w:bookmarkEnd w:id="49"/>
      <w:bookmarkEnd w:id="50"/>
      <w:bookmarkEnd w:id="5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广元市中医药发展服务中心2024年无国有资本经营预算拨款安排的支出。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52" w:name="_Toc30703"/>
      <w:bookmarkStart w:id="53" w:name="_Toc9612"/>
      <w:bookmarkStart w:id="54" w:name="_Toc12516"/>
      <w:r>
        <w:rPr>
          <w:rFonts w:hint="eastAsia" w:ascii="黑体" w:hAnsi="黑体" w:eastAsia="黑体" w:cs="黑体"/>
          <w:sz w:val="32"/>
          <w:szCs w:val="32"/>
          <w:lang w:val="en-US" w:eastAsia="zh-CN"/>
        </w:rPr>
        <w:t>十、其他重要事项的情况说明</w:t>
      </w:r>
      <w:bookmarkEnd w:id="52"/>
      <w:bookmarkEnd w:id="53"/>
      <w:bookmarkEnd w:id="54"/>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420" w:leftChars="0"/>
        <w:textAlignment w:val="auto"/>
        <w:outlineLvl w:val="1"/>
        <w:rPr>
          <w:rFonts w:hint="eastAsia" w:ascii="楷体_GB2312" w:hAnsi="楷体_GB2312" w:eastAsia="楷体_GB2312" w:cs="楷体_GB2312"/>
          <w:sz w:val="32"/>
          <w:szCs w:val="32"/>
          <w:lang w:val="en-US" w:eastAsia="zh-CN"/>
        </w:rPr>
      </w:pPr>
      <w:bookmarkStart w:id="55" w:name="_Toc28919"/>
      <w:r>
        <w:rPr>
          <w:rFonts w:hint="eastAsia" w:ascii="楷体_GB2312" w:hAnsi="楷体_GB2312" w:eastAsia="楷体_GB2312" w:cs="楷体_GB2312"/>
          <w:sz w:val="32"/>
          <w:szCs w:val="32"/>
          <w:lang w:val="en-US" w:eastAsia="zh-CN"/>
        </w:rPr>
        <w:t>（一）机关运行经费</w:t>
      </w:r>
      <w:bookmarkEnd w:id="5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广元市中医药发展服务中心为事业单位，按规定未使用机关运行的相关科目</w:t>
      </w:r>
      <w:r>
        <w:rPr>
          <w:rFonts w:hint="eastAsia" w:ascii="仿宋_GB2312" w:hAnsi="仿宋_GB2312" w:eastAsia="仿宋_GB2312" w:cs="仿宋_GB2312"/>
          <w:b/>
          <w:bCs/>
          <w:sz w:val="32"/>
          <w:szCs w:val="32"/>
          <w:lang w:val="en-US" w:eastAsia="zh-CN"/>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420" w:leftChars="0"/>
        <w:textAlignment w:val="auto"/>
        <w:outlineLvl w:val="1"/>
        <w:rPr>
          <w:rFonts w:hint="eastAsia" w:ascii="楷体_GB2312" w:hAnsi="楷体_GB2312" w:eastAsia="楷体_GB2312" w:cs="楷体_GB2312"/>
          <w:sz w:val="32"/>
          <w:szCs w:val="32"/>
          <w:lang w:val="en-US" w:eastAsia="zh-CN"/>
        </w:rPr>
      </w:pPr>
      <w:bookmarkStart w:id="56" w:name="_Toc2616"/>
      <w:r>
        <w:rPr>
          <w:rFonts w:hint="eastAsia" w:ascii="楷体_GB2312" w:hAnsi="楷体_GB2312" w:eastAsia="楷体_GB2312" w:cs="楷体_GB2312"/>
          <w:sz w:val="32"/>
          <w:szCs w:val="32"/>
          <w:lang w:val="en-US" w:eastAsia="zh-CN"/>
        </w:rPr>
        <w:t>（二）政府采购情况</w:t>
      </w:r>
      <w:bookmarkEnd w:id="5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2024年，广元市中医药发展服务中心未安排政府采购预算。</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420" w:leftChars="0"/>
        <w:textAlignment w:val="auto"/>
        <w:outlineLvl w:val="1"/>
        <w:rPr>
          <w:rFonts w:hint="eastAsia" w:ascii="楷体_GB2312" w:hAnsi="楷体_GB2312" w:eastAsia="楷体_GB2312" w:cs="楷体_GB2312"/>
          <w:sz w:val="32"/>
          <w:szCs w:val="32"/>
          <w:lang w:val="en-US" w:eastAsia="zh-CN"/>
        </w:rPr>
      </w:pPr>
      <w:bookmarkStart w:id="57" w:name="_Toc30771"/>
      <w:r>
        <w:rPr>
          <w:rFonts w:hint="eastAsia" w:ascii="楷体_GB2312" w:hAnsi="楷体_GB2312" w:eastAsia="楷体_GB2312" w:cs="楷体_GB2312"/>
          <w:sz w:val="32"/>
          <w:szCs w:val="32"/>
          <w:lang w:val="en-US" w:eastAsia="zh-CN"/>
        </w:rPr>
        <w:t>（三）国有资产占有使用情况</w:t>
      </w:r>
      <w:bookmarkEnd w:id="5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截至2023年底，广元市中医药发展服务中心共有车辆1辆，其中，定向保障用车1辆。单位无价值200万元以上的大型设备。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2024年单位预算未安排购置车辆及单位价值200万元以上大型设备。</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420" w:leftChars="0"/>
        <w:textAlignment w:val="auto"/>
        <w:outlineLvl w:val="1"/>
        <w:rPr>
          <w:rFonts w:hint="eastAsia" w:ascii="楷体_GB2312" w:hAnsi="楷体_GB2312" w:eastAsia="楷体_GB2312" w:cs="楷体_GB2312"/>
          <w:sz w:val="32"/>
          <w:szCs w:val="32"/>
          <w:lang w:val="en-US" w:eastAsia="zh-CN"/>
        </w:rPr>
      </w:pPr>
      <w:bookmarkStart w:id="58" w:name="_Toc28285"/>
      <w:r>
        <w:rPr>
          <w:rFonts w:hint="eastAsia" w:ascii="楷体_GB2312" w:hAnsi="楷体_GB2312" w:eastAsia="楷体_GB2312" w:cs="楷体_GB2312"/>
          <w:sz w:val="32"/>
          <w:szCs w:val="32"/>
          <w:lang w:val="en-US" w:eastAsia="zh-CN"/>
        </w:rPr>
        <w:t>（四）绩效目标设置情况</w:t>
      </w:r>
      <w:bookmarkEnd w:id="5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2024年广元市中医药发展服务中心开展绩效目标管理的项目9个，涉及预算115.31万元。其中：人员类项目5个，涉及预算 95.38万元；运转类项目3个，涉及预算9.93万元；特定目标类项目1个，涉及预算10万元。因部分项目内容涉密，不予公开。</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59" w:name="_Toc443"/>
      <w:bookmarkStart w:id="60" w:name="_Toc25868"/>
      <w:bookmarkStart w:id="61" w:name="_Toc17055"/>
      <w:r>
        <w:rPr>
          <w:rFonts w:hint="eastAsia" w:ascii="黑体" w:hAnsi="黑体" w:eastAsia="黑体" w:cs="黑体"/>
          <w:sz w:val="32"/>
          <w:szCs w:val="32"/>
          <w:lang w:val="en-US" w:eastAsia="zh-CN"/>
        </w:rPr>
        <w:t>十一、名词解释</w:t>
      </w:r>
      <w:bookmarkEnd w:id="59"/>
      <w:bookmarkEnd w:id="60"/>
      <w:bookmarkEnd w:id="6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（一）财政拨款收入：</w:t>
      </w:r>
      <w:r>
        <w:rPr>
          <w:rFonts w:hint="eastAsia" w:ascii="仿宋_GB2312" w:hAnsi="仿宋_GB2312" w:eastAsia="仿宋_GB2312" w:cs="仿宋_GB2312"/>
          <w:sz w:val="32"/>
          <w:szCs w:val="32"/>
          <w:highlight w:val="none"/>
          <w:lang w:val="en-US" w:eastAsia="zh-CN"/>
        </w:rPr>
        <w:t>指市财政当年安排的财政预算收入。按现行管理制度，单位预算中反映的财政拨款包括一般公共预算拨款和政府性基金预算拨款。</w:t>
      </w:r>
    </w:p>
    <w:p>
      <w:pPr>
        <w:pageBreakBefore w:val="0"/>
        <w:shd w:val="clear"/>
        <w:kinsoku/>
        <w:wordWrap/>
        <w:overflowPunct/>
        <w:topLinePunct w:val="0"/>
        <w:autoSpaceDE/>
        <w:autoSpaceDN/>
        <w:bidi w:val="0"/>
        <w:adjustRightInd/>
        <w:snapToGrid/>
        <w:spacing w:line="576" w:lineRule="exact"/>
        <w:ind w:firstLine="640" w:firstLineChars="200"/>
        <w:jc w:val="both"/>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（二）</w:t>
      </w:r>
      <w:r>
        <w:rPr>
          <w:rFonts w:hint="default" w:ascii="仿宋_GB2312" w:eastAsia="仿宋_GB2312"/>
          <w:sz w:val="32"/>
          <w:szCs w:val="32"/>
          <w:lang w:val="en-US" w:eastAsia="zh-CN"/>
        </w:rPr>
        <w:t>社会保障和就业支出（类）行政事业单位养老支出（款）机关事业单位基本养老保险缴费支出（项）2080505：指反映机关事业单位实施养老保险制度由单位缴纳的基本养老保险费支出。</w:t>
      </w:r>
    </w:p>
    <w:p>
      <w:pPr>
        <w:keepNext w:val="0"/>
        <w:keepLines w:val="0"/>
        <w:widowControl/>
        <w:suppressLineNumbers w:val="0"/>
        <w:shd w:val="clear"/>
        <w:spacing w:before="75" w:beforeAutospacing="0" w:after="75" w:afterAutospacing="0"/>
        <w:ind w:left="0" w:right="0" w:firstLine="640"/>
        <w:jc w:val="left"/>
        <w:rPr>
          <w:rFonts w:hint="eastAsia"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（三）</w:t>
      </w:r>
      <w:r>
        <w:rPr>
          <w:rFonts w:hint="default" w:ascii="仿宋_GB2312" w:eastAsia="仿宋_GB2312" w:hAnsiTheme="minorHAnsi" w:cstheme="minorBidi"/>
          <w:kern w:val="2"/>
          <w:sz w:val="32"/>
          <w:szCs w:val="32"/>
          <w:highlight w:val="none"/>
          <w:lang w:val="en-US" w:eastAsia="zh-CN" w:bidi="ar-SA"/>
        </w:rPr>
        <w:t>卫生健康支出（类）行政事业单位医疗（款）事业单位医疗（项）2101102：指反映财政</w:t>
      </w:r>
      <w:r>
        <w:rPr>
          <w:rFonts w:hint="eastAsia" w:ascii="仿宋_GB2312" w:eastAsia="仿宋_GB2312" w:hAnsiTheme="minorHAnsi" w:cstheme="minorBidi"/>
          <w:kern w:val="2"/>
          <w:sz w:val="32"/>
          <w:szCs w:val="32"/>
          <w:highlight w:val="none"/>
          <w:lang w:val="en-US" w:eastAsia="zh-CN" w:bidi="ar-SA"/>
        </w:rPr>
        <w:t>单位</w:t>
      </w:r>
      <w:r>
        <w:rPr>
          <w:rFonts w:hint="default" w:ascii="仿宋_GB2312" w:eastAsia="仿宋_GB2312" w:hAnsiTheme="minorHAnsi" w:cstheme="minorBidi"/>
          <w:kern w:val="2"/>
          <w:sz w:val="32"/>
          <w:szCs w:val="32"/>
          <w:highlight w:val="none"/>
          <w:lang w:val="en-US" w:eastAsia="zh-CN" w:bidi="ar-SA"/>
        </w:rPr>
        <w:t>安排的事业单位基本医疗保险缴费经费，未参加医疗保险的事业单位的公费医疗经费，按国家规定享受离休人员待遇的医疗经费。</w:t>
      </w:r>
    </w:p>
    <w:p>
      <w:pPr>
        <w:keepNext w:val="0"/>
        <w:keepLines w:val="0"/>
        <w:widowControl/>
        <w:suppressLineNumbers w:val="0"/>
        <w:shd w:val="clear"/>
        <w:spacing w:before="75" w:beforeAutospacing="0" w:after="75" w:afterAutospacing="0"/>
        <w:ind w:left="0" w:right="0" w:firstLine="640"/>
        <w:jc w:val="left"/>
        <w:rPr>
          <w:rFonts w:hint="default"/>
          <w:highlight w:val="none"/>
          <w:lang w:val="en-US" w:eastAsia="zh-CN"/>
        </w:rPr>
      </w:pPr>
      <w:r>
        <w:rPr>
          <w:rFonts w:hint="eastAsia" w:ascii="楷体_GB2312" w:hAnsi="楷体_GB2312" w:eastAsia="楷体_GB2312" w:cs="楷体_GB2312"/>
          <w:sz w:val="32"/>
          <w:szCs w:val="32"/>
          <w:highlight w:val="none"/>
          <w:lang w:val="en-US" w:eastAsia="zh-CN"/>
        </w:rPr>
        <w:t>（四）</w:t>
      </w:r>
      <w:r>
        <w:rPr>
          <w:rFonts w:hint="default" w:ascii="仿宋_GB2312" w:eastAsia="仿宋_GB2312" w:hAnsiTheme="minorHAnsi" w:cstheme="minorBidi"/>
          <w:kern w:val="2"/>
          <w:sz w:val="32"/>
          <w:szCs w:val="32"/>
          <w:highlight w:val="none"/>
          <w:lang w:val="en-US" w:eastAsia="zh-CN" w:bidi="ar-SA"/>
        </w:rPr>
        <w:t>卫生健康支出（类） 其他中医药事务支出（款）其他中医药事务支出（项）2101</w:t>
      </w:r>
      <w:r>
        <w:rPr>
          <w:rFonts w:hint="eastAsia" w:ascii="仿宋_GB2312" w:eastAsia="仿宋_GB2312" w:hAnsiTheme="minorHAnsi" w:cstheme="minorBidi"/>
          <w:kern w:val="2"/>
          <w:sz w:val="32"/>
          <w:szCs w:val="32"/>
          <w:highlight w:val="none"/>
          <w:lang w:val="en-US" w:eastAsia="zh-CN" w:bidi="ar-SA"/>
        </w:rPr>
        <w:t>799</w:t>
      </w:r>
      <w:r>
        <w:rPr>
          <w:rFonts w:hint="default" w:ascii="仿宋_GB2312" w:eastAsia="仿宋_GB2312" w:hAnsiTheme="minorHAnsi" w:cstheme="minorBidi"/>
          <w:kern w:val="2"/>
          <w:sz w:val="32"/>
          <w:szCs w:val="32"/>
          <w:highlight w:val="none"/>
          <w:lang w:val="en-US" w:eastAsia="zh-CN" w:bidi="ar-SA"/>
        </w:rPr>
        <w:t>：指反映</w:t>
      </w:r>
      <w:r>
        <w:rPr>
          <w:rFonts w:hint="eastAsia" w:ascii="仿宋_GB2312" w:eastAsia="仿宋_GB2312" w:hAnsiTheme="minorHAnsi" w:cstheme="minorBidi"/>
          <w:kern w:val="2"/>
          <w:sz w:val="32"/>
          <w:szCs w:val="32"/>
          <w:highlight w:val="none"/>
          <w:lang w:val="en-US" w:eastAsia="zh-CN" w:bidi="ar-SA"/>
        </w:rPr>
        <w:t>除中医（民族医）药专项以外的其他中医药的支出</w:t>
      </w:r>
      <w:r>
        <w:rPr>
          <w:rFonts w:hint="default" w:ascii="仿宋_GB2312" w:eastAsia="仿宋_GB2312" w:hAnsiTheme="minorHAnsi" w:cstheme="minorBidi"/>
          <w:kern w:val="2"/>
          <w:sz w:val="32"/>
          <w:szCs w:val="32"/>
          <w:highlight w:val="none"/>
          <w:lang w:val="en-US" w:eastAsia="zh-CN" w:bidi="ar-SA"/>
        </w:rPr>
        <w:t>。</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（五）</w:t>
      </w:r>
      <w:r>
        <w:rPr>
          <w:rFonts w:hint="default" w:ascii="仿宋_GB2312" w:eastAsia="仿宋_GB2312" w:hAnsiTheme="minorHAnsi" w:cstheme="minorBidi"/>
          <w:kern w:val="2"/>
          <w:sz w:val="32"/>
          <w:szCs w:val="32"/>
          <w:highlight w:val="none"/>
          <w:lang w:val="en-US" w:eastAsia="zh-CN" w:bidi="ar-SA"/>
        </w:rPr>
        <w:t>住房保障支出（类）住房改革支出（款）住房公积金（项）2210201：指反映行政事业单位按人力资源和社会保障部、财政部规定的基本工资和津贴补贴以及规定比例为职工缴纳的住房公积金。</w:t>
      </w:r>
    </w:p>
    <w:p>
      <w:pPr>
        <w:pageBreakBefore w:val="0"/>
        <w:shd w:val="clear"/>
        <w:kinsoku/>
        <w:wordWrap/>
        <w:overflowPunct/>
        <w:topLinePunct w:val="0"/>
        <w:autoSpaceDE/>
        <w:autoSpaceDN/>
        <w:bidi w:val="0"/>
        <w:adjustRightInd/>
        <w:snapToGrid/>
        <w:spacing w:line="576"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（六）基本支出：指为保证机构正常运转，完成日常工作任务而发生的人员支出和公用支出。</w:t>
      </w:r>
    </w:p>
    <w:p>
      <w:pPr>
        <w:pageBreakBefore w:val="0"/>
        <w:shd w:val="clear"/>
        <w:kinsoku/>
        <w:wordWrap/>
        <w:overflowPunct/>
        <w:topLinePunct w:val="0"/>
        <w:autoSpaceDE/>
        <w:autoSpaceDN/>
        <w:bidi w:val="0"/>
        <w:adjustRightInd/>
        <w:snapToGrid/>
        <w:spacing w:line="576"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（七）项目支出：指在基本支出之外为完成特定行政任务和事业发展目标所发生的支出。</w:t>
      </w:r>
    </w:p>
    <w:p>
      <w:pPr>
        <w:pageBreakBefore w:val="0"/>
        <w:shd w:val="clear"/>
        <w:kinsoku/>
        <w:wordWrap/>
        <w:overflowPunct/>
        <w:topLinePunct w:val="0"/>
        <w:autoSpaceDE/>
        <w:autoSpaceDN/>
        <w:bidi w:val="0"/>
        <w:adjustRightInd/>
        <w:snapToGrid/>
        <w:spacing w:line="576"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八）“三公”经费：纳入单位预算管理的“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附件：单位预算公开表</w:t>
      </w:r>
    </w:p>
    <w:p>
      <w:pPr>
        <w:keepNext w:val="0"/>
        <w:keepLines w:val="0"/>
        <w:pageBreakBefore w:val="0"/>
        <w:widowControl w:val="0"/>
        <w:shd w:val="clear"/>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4"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4F7E612-E6A6-402E-A768-9839363EC4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E4CDEAE-FDF2-4432-8581-0709D3F4DDD5}"/>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embedRegular r:id="rId3" w:fontKey="{7FFE0526-DC38-4A43-A2E9-248B70569A3D}"/>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00000" w:usb2="00000000" w:usb3="00000000" w:csb0="00040000" w:csb1="00000000"/>
    <w:embedRegular r:id="rId4" w:fontKey="{2AA87D81-A421-40F7-B6D0-9D5B3EE0014F}"/>
  </w:font>
  <w:font w:name="楷体_GB2312">
    <w:altName w:val="楷体"/>
    <w:panose1 w:val="02010609030101010101"/>
    <w:charset w:val="86"/>
    <w:family w:val="auto"/>
    <w:pitch w:val="default"/>
    <w:sig w:usb0="00000000" w:usb1="00000000" w:usb2="00000000" w:usb3="00000000" w:csb0="00040000" w:csb1="00000000"/>
    <w:embedRegular r:id="rId5" w:fontKey="{23B120C7-1ADC-4228-B570-C2FDC3F60977}"/>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19"/>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 w:name="KSO_WPS_MARK_KEY" w:val="a9f3c310-30f6-407b-8721-4797e7325c0d"/>
  </w:docVars>
  <w:rsids>
    <w:rsidRoot w:val="00000000"/>
    <w:rsid w:val="012352D1"/>
    <w:rsid w:val="02EB635F"/>
    <w:rsid w:val="03D13D53"/>
    <w:rsid w:val="13591784"/>
    <w:rsid w:val="1D9F113A"/>
    <w:rsid w:val="1F7BF06F"/>
    <w:rsid w:val="1FEE4B73"/>
    <w:rsid w:val="211C305E"/>
    <w:rsid w:val="23CE9849"/>
    <w:rsid w:val="2D360416"/>
    <w:rsid w:val="372799D5"/>
    <w:rsid w:val="39F304DD"/>
    <w:rsid w:val="3AB260A9"/>
    <w:rsid w:val="3E3020F0"/>
    <w:rsid w:val="3EF3536F"/>
    <w:rsid w:val="4476351B"/>
    <w:rsid w:val="46A71700"/>
    <w:rsid w:val="4F017C56"/>
    <w:rsid w:val="54244390"/>
    <w:rsid w:val="54662A63"/>
    <w:rsid w:val="58064E12"/>
    <w:rsid w:val="59F005A1"/>
    <w:rsid w:val="5BFEE015"/>
    <w:rsid w:val="63EDCF55"/>
    <w:rsid w:val="63FBFBCF"/>
    <w:rsid w:val="669360FD"/>
    <w:rsid w:val="68FF6A83"/>
    <w:rsid w:val="6ADD7AD3"/>
    <w:rsid w:val="6AEF6005"/>
    <w:rsid w:val="6E3DB48E"/>
    <w:rsid w:val="6FBBC9CF"/>
    <w:rsid w:val="71A15B6E"/>
    <w:rsid w:val="72BDE561"/>
    <w:rsid w:val="75BF52B8"/>
    <w:rsid w:val="78462278"/>
    <w:rsid w:val="7997EA6C"/>
    <w:rsid w:val="7AEAE675"/>
    <w:rsid w:val="7BAFCE5D"/>
    <w:rsid w:val="7D46598C"/>
    <w:rsid w:val="7D9F8F0F"/>
    <w:rsid w:val="7DE25A8E"/>
    <w:rsid w:val="7DFB240B"/>
    <w:rsid w:val="7DFE05E7"/>
    <w:rsid w:val="7E0935ED"/>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Body Text"/>
    <w:basedOn w:val="1"/>
    <w:qFormat/>
    <w:uiPriority w:val="0"/>
    <w:pPr>
      <w:spacing w:before="0" w:after="140" w:line="276" w:lineRule="auto"/>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autoRedefine/>
    <w:qFormat/>
    <w:uiPriority w:val="0"/>
  </w:style>
  <w:style w:type="paragraph" w:styleId="9">
    <w:name w:val="List"/>
    <w:basedOn w:val="5"/>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rPr>
      <w:sz w:val="24"/>
    </w:rPr>
  </w:style>
  <w:style w:type="character" w:customStyle="1" w:styleId="14">
    <w:name w:val="默认段落字体1"/>
    <w:autoRedefine/>
    <w:qFormat/>
    <w:uiPriority w:val="0"/>
  </w:style>
  <w:style w:type="paragraph" w:customStyle="1" w:styleId="15">
    <w:name w:val="Heading"/>
    <w:basedOn w:val="1"/>
    <w:next w:val="5"/>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样式 行距: 固定值 28.9 磅"/>
    <w:basedOn w:val="1"/>
    <w:qFormat/>
    <w:uiPriority w:val="0"/>
    <w:pPr>
      <w:spacing w:line="578" w:lineRule="exact"/>
    </w:pPr>
    <w:rPr>
      <w:rFonts w:cs="宋体"/>
      <w:szCs w:val="20"/>
      <w:lang w:bidi="ar-SA"/>
    </w:rPr>
  </w:style>
  <w:style w:type="paragraph" w:customStyle="1" w:styleId="18">
    <w:name w:val="WPSOffice手动目录 1"/>
    <w:uiPriority w:val="0"/>
    <w:pPr>
      <w:ind w:leftChars="0"/>
    </w:pPr>
    <w:rPr>
      <w:sz w:val="20"/>
      <w:szCs w:val="20"/>
    </w:rPr>
  </w:style>
  <w:style w:type="paragraph" w:customStyle="1" w:styleId="19">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3348</Words>
  <Characters>3628</Characters>
  <TotalTime>7</TotalTime>
  <ScaleCrop>false</ScaleCrop>
  <LinksUpToDate>false</LinksUpToDate>
  <CharactersWithSpaces>3688</CharactersWithSpaces>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玖千余为春秋</cp:lastModifiedBy>
  <dcterms:modified xsi:type="dcterms:W3CDTF">2024-03-02T05:26:38Z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605620AB3BFD43C385869390338E1E13</vt:lpwstr>
  </property>
</Properties>
</file>