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广元市住房保障和房地产事务中心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942804242"/>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6"/>
            <w:tabs>
              <w:tab w:val="right" w:leader="dot" w:pos="8845"/>
            </w:tabs>
            <w:rPr>
              <w:rFonts w:hint="default"/>
            </w:rPr>
          </w:pPr>
          <w:r>
            <w:fldChar w:fldCharType="begin"/>
          </w:r>
          <w:r>
            <w:instrText xml:space="preserve">TOC \o "1-2" \t "目录" \h \u </w:instrText>
          </w:r>
          <w:r>
            <w:fldChar w:fldCharType="separate"/>
          </w:r>
          <w:r>
            <w:fldChar w:fldCharType="begin"/>
          </w:r>
          <w:r>
            <w:instrText xml:space="preserve"> HYPERLINK \l _Toc207335974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_Toc207335974 \h </w:instrText>
          </w:r>
          <w:r>
            <w:fldChar w:fldCharType="separate"/>
          </w:r>
          <w:r>
            <w:fldChar w:fldCharType="end"/>
          </w:r>
          <w:r>
            <w:fldChar w:fldCharType="end"/>
          </w:r>
          <w:r>
            <w:t>3</w:t>
          </w:r>
        </w:p>
        <w:p>
          <w:pPr>
            <w:pStyle w:val="9"/>
            <w:tabs>
              <w:tab w:val="right" w:leader="dot" w:pos="8845"/>
            </w:tabs>
            <w:rPr>
              <w:rFonts w:hint="default"/>
            </w:rPr>
          </w:pPr>
          <w:r>
            <w:fldChar w:fldCharType="begin"/>
          </w:r>
          <w:r>
            <w:instrText xml:space="preserve"> HYPERLINK \l _Toc1636206340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广元市住房保障和房地产事务中心</w:t>
          </w:r>
          <w:r>
            <w:rPr>
              <w:rFonts w:hint="eastAsia" w:ascii="楷体_GB2312" w:hAnsi="楷体_GB2312" w:eastAsia="楷体_GB2312" w:cs="楷体_GB2312"/>
              <w:szCs w:val="32"/>
            </w:rPr>
            <w:t>职能简介</w:t>
          </w:r>
          <w:r>
            <w:tab/>
          </w:r>
          <w:r>
            <w:fldChar w:fldCharType="begin"/>
          </w:r>
          <w:r>
            <w:instrText xml:space="preserve"> PAGEREF _Toc1636206340 \h </w:instrText>
          </w:r>
          <w:r>
            <w:fldChar w:fldCharType="separate"/>
          </w:r>
          <w:r>
            <w:fldChar w:fldCharType="end"/>
          </w:r>
          <w:r>
            <w:fldChar w:fldCharType="end"/>
          </w:r>
          <w:r>
            <w:t>3</w:t>
          </w:r>
        </w:p>
        <w:p>
          <w:pPr>
            <w:pStyle w:val="9"/>
            <w:tabs>
              <w:tab w:val="right" w:leader="dot" w:pos="8845"/>
            </w:tabs>
            <w:rPr>
              <w:rFonts w:hint="default"/>
            </w:rPr>
          </w:pPr>
          <w:r>
            <w:fldChar w:fldCharType="begin"/>
          </w:r>
          <w:r>
            <w:instrText xml:space="preserve"> HYPERLINK \l _Toc1790909815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广元市住房保障和房地产事务中心</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_Toc1790909815 \h </w:instrText>
          </w:r>
          <w:r>
            <w:fldChar w:fldCharType="separate"/>
          </w:r>
          <w:r>
            <w:fldChar w:fldCharType="end"/>
          </w:r>
          <w:r>
            <w:fldChar w:fldCharType="end"/>
          </w:r>
          <w:r>
            <w:t>4</w:t>
          </w:r>
        </w:p>
        <w:p>
          <w:pPr>
            <w:pStyle w:val="6"/>
            <w:tabs>
              <w:tab w:val="right" w:leader="dot" w:pos="8845"/>
            </w:tabs>
          </w:pPr>
          <w:r>
            <w:fldChar w:fldCharType="begin"/>
          </w:r>
          <w:r>
            <w:instrText xml:space="preserve"> HYPERLINK \l _Toc126960788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_Toc126960788 \h </w:instrText>
          </w:r>
          <w:r>
            <w:fldChar w:fldCharType="separate"/>
          </w:r>
          <w:r>
            <w:t>6</w:t>
          </w:r>
          <w:r>
            <w:fldChar w:fldCharType="end"/>
          </w:r>
          <w:r>
            <w:fldChar w:fldCharType="end"/>
          </w:r>
        </w:p>
        <w:p>
          <w:pPr>
            <w:pStyle w:val="6"/>
            <w:tabs>
              <w:tab w:val="right" w:leader="dot" w:pos="8845"/>
            </w:tabs>
          </w:pPr>
          <w:r>
            <w:fldChar w:fldCharType="begin"/>
          </w:r>
          <w:r>
            <w:instrText xml:space="preserve"> HYPERLINK \l _Toc1623677495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_Toc1623677495 \h </w:instrText>
          </w:r>
          <w:r>
            <w:fldChar w:fldCharType="separate"/>
          </w:r>
          <w:r>
            <w:t>6</w:t>
          </w:r>
          <w:r>
            <w:fldChar w:fldCharType="end"/>
          </w:r>
          <w:r>
            <w:fldChar w:fldCharType="end"/>
          </w:r>
        </w:p>
        <w:p>
          <w:pPr>
            <w:pStyle w:val="9"/>
            <w:tabs>
              <w:tab w:val="right" w:leader="dot" w:pos="8845"/>
            </w:tabs>
          </w:pPr>
          <w:r>
            <w:fldChar w:fldCharType="begin"/>
          </w:r>
          <w:r>
            <w:instrText xml:space="preserve"> HYPERLINK \l _Toc1341570373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_Toc1341570373 \h </w:instrText>
          </w:r>
          <w:r>
            <w:fldChar w:fldCharType="separate"/>
          </w:r>
          <w:r>
            <w:t>6</w:t>
          </w:r>
          <w:r>
            <w:fldChar w:fldCharType="end"/>
          </w:r>
          <w:r>
            <w:fldChar w:fldCharType="end"/>
          </w:r>
        </w:p>
        <w:p>
          <w:pPr>
            <w:pStyle w:val="9"/>
            <w:tabs>
              <w:tab w:val="right" w:leader="dot" w:pos="8845"/>
            </w:tabs>
          </w:pPr>
          <w:r>
            <w:fldChar w:fldCharType="begin"/>
          </w:r>
          <w:r>
            <w:instrText xml:space="preserve"> HYPERLINK \l _Toc1342521943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_Toc1342521943 \h </w:instrText>
          </w:r>
          <w:r>
            <w:fldChar w:fldCharType="separate"/>
          </w:r>
          <w:r>
            <w:t>6</w:t>
          </w:r>
          <w:r>
            <w:fldChar w:fldCharType="end"/>
          </w:r>
          <w:r>
            <w:fldChar w:fldCharType="end"/>
          </w:r>
        </w:p>
        <w:p>
          <w:pPr>
            <w:pStyle w:val="6"/>
            <w:tabs>
              <w:tab w:val="right" w:leader="dot" w:pos="8845"/>
            </w:tabs>
            <w:rPr>
              <w:rFonts w:hint="default"/>
            </w:rPr>
          </w:pPr>
          <w:r>
            <w:fldChar w:fldCharType="begin"/>
          </w:r>
          <w:r>
            <w:instrText xml:space="preserve"> HYPERLINK \l _Toc1922415551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_Toc1922415551 \h </w:instrText>
          </w:r>
          <w:r>
            <w:fldChar w:fldCharType="separate"/>
          </w:r>
          <w:r>
            <w:fldChar w:fldCharType="end"/>
          </w:r>
          <w:r>
            <w:fldChar w:fldCharType="end"/>
          </w:r>
          <w:r>
            <w:t>7</w:t>
          </w:r>
        </w:p>
        <w:p>
          <w:pPr>
            <w:pStyle w:val="6"/>
            <w:tabs>
              <w:tab w:val="right" w:leader="dot" w:pos="8845"/>
            </w:tabs>
          </w:pPr>
          <w:r>
            <w:fldChar w:fldCharType="begin"/>
          </w:r>
          <w:r>
            <w:instrText xml:space="preserve"> HYPERLINK \l _Toc197839539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_Toc197839539 \h </w:instrText>
          </w:r>
          <w:r>
            <w:fldChar w:fldCharType="separate"/>
          </w:r>
          <w:r>
            <w:t>7</w:t>
          </w:r>
          <w:r>
            <w:fldChar w:fldCharType="end"/>
          </w:r>
          <w:r>
            <w:fldChar w:fldCharType="end"/>
          </w:r>
        </w:p>
        <w:p>
          <w:pPr>
            <w:pStyle w:val="9"/>
            <w:tabs>
              <w:tab w:val="right" w:leader="dot" w:pos="8845"/>
            </w:tabs>
          </w:pPr>
          <w:r>
            <w:fldChar w:fldCharType="begin"/>
          </w:r>
          <w:r>
            <w:instrText xml:space="preserve"> HYPERLINK \l _Toc967020884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_Toc967020884 \h </w:instrText>
          </w:r>
          <w:r>
            <w:fldChar w:fldCharType="separate"/>
          </w:r>
          <w:r>
            <w:t>7</w:t>
          </w:r>
          <w:r>
            <w:fldChar w:fldCharType="end"/>
          </w:r>
          <w:r>
            <w:fldChar w:fldCharType="end"/>
          </w:r>
        </w:p>
        <w:p>
          <w:pPr>
            <w:pStyle w:val="9"/>
            <w:tabs>
              <w:tab w:val="right" w:leader="dot" w:pos="8845"/>
            </w:tabs>
          </w:pPr>
          <w:r>
            <w:fldChar w:fldCharType="begin"/>
          </w:r>
          <w:r>
            <w:instrText xml:space="preserve"> HYPERLINK \l _Toc86134664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_Toc86134664 \h </w:instrText>
          </w:r>
          <w:r>
            <w:fldChar w:fldCharType="separate"/>
          </w:r>
          <w:r>
            <w:t>7</w:t>
          </w:r>
          <w:r>
            <w:fldChar w:fldCharType="end"/>
          </w:r>
          <w:r>
            <w:fldChar w:fldCharType="end"/>
          </w:r>
        </w:p>
        <w:p>
          <w:pPr>
            <w:pStyle w:val="9"/>
            <w:tabs>
              <w:tab w:val="right" w:leader="dot" w:pos="8845"/>
            </w:tabs>
          </w:pPr>
          <w:r>
            <w:fldChar w:fldCharType="begin"/>
          </w:r>
          <w:r>
            <w:instrText xml:space="preserve"> HYPERLINK \l _Toc1226734984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_Toc1226734984 \h </w:instrText>
          </w:r>
          <w:r>
            <w:fldChar w:fldCharType="separate"/>
          </w:r>
          <w:r>
            <w:t>7</w:t>
          </w:r>
          <w:r>
            <w:fldChar w:fldCharType="end"/>
          </w:r>
          <w:r>
            <w:fldChar w:fldCharType="end"/>
          </w:r>
        </w:p>
        <w:p>
          <w:pPr>
            <w:pStyle w:val="6"/>
            <w:tabs>
              <w:tab w:val="right" w:leader="dot" w:pos="8845"/>
            </w:tabs>
          </w:pPr>
          <w:r>
            <w:fldChar w:fldCharType="begin"/>
          </w:r>
          <w:r>
            <w:instrText xml:space="preserve"> HYPERLINK \l _Toc1625155796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_Toc1625155796 \h </w:instrText>
          </w:r>
          <w:r>
            <w:fldChar w:fldCharType="separate"/>
          </w:r>
          <w:r>
            <w:t>8</w:t>
          </w:r>
          <w:r>
            <w:fldChar w:fldCharType="end"/>
          </w:r>
          <w:r>
            <w:fldChar w:fldCharType="end"/>
          </w:r>
        </w:p>
        <w:p>
          <w:pPr>
            <w:pStyle w:val="6"/>
            <w:tabs>
              <w:tab w:val="right" w:leader="dot" w:pos="8845"/>
            </w:tabs>
          </w:pPr>
          <w:r>
            <w:fldChar w:fldCharType="begin"/>
          </w:r>
          <w:r>
            <w:instrText xml:space="preserve"> HYPERLINK \l _Toc1930612828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_Toc1930612828 \h </w:instrText>
          </w:r>
          <w:r>
            <w:fldChar w:fldCharType="separate"/>
          </w:r>
          <w:r>
            <w:t>8</w:t>
          </w:r>
          <w:r>
            <w:fldChar w:fldCharType="end"/>
          </w:r>
          <w:r>
            <w:fldChar w:fldCharType="end"/>
          </w:r>
        </w:p>
        <w:p>
          <w:pPr>
            <w:pStyle w:val="9"/>
            <w:tabs>
              <w:tab w:val="right" w:leader="dot" w:pos="8845"/>
            </w:tabs>
            <w:rPr>
              <w:rFonts w:hint="default"/>
            </w:rPr>
          </w:pPr>
          <w:r>
            <w:fldChar w:fldCharType="begin"/>
          </w:r>
          <w:r>
            <w:instrText xml:space="preserve"> HYPERLINK \l _Toc683266318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_Toc683266318 \h </w:instrText>
          </w:r>
          <w:r>
            <w:fldChar w:fldCharType="separate"/>
          </w:r>
          <w:r>
            <w:fldChar w:fldCharType="end"/>
          </w:r>
          <w:r>
            <w:fldChar w:fldCharType="end"/>
          </w:r>
          <w:r>
            <w:t>9</w:t>
          </w:r>
        </w:p>
        <w:p>
          <w:pPr>
            <w:pStyle w:val="9"/>
            <w:tabs>
              <w:tab w:val="right" w:leader="dot" w:pos="8845"/>
            </w:tabs>
          </w:pPr>
          <w:r>
            <w:fldChar w:fldCharType="begin"/>
          </w:r>
          <w:r>
            <w:instrText xml:space="preserve"> HYPERLINK \l _Toc1609985061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_Toc1609985061 \h </w:instrText>
          </w:r>
          <w:r>
            <w:fldChar w:fldCharType="separate"/>
          </w:r>
          <w:r>
            <w:t>9</w:t>
          </w:r>
          <w:r>
            <w:fldChar w:fldCharType="end"/>
          </w:r>
          <w:r>
            <w:fldChar w:fldCharType="end"/>
          </w:r>
        </w:p>
        <w:p>
          <w:pPr>
            <w:pStyle w:val="9"/>
            <w:tabs>
              <w:tab w:val="right" w:leader="dot" w:pos="8845"/>
            </w:tabs>
          </w:pPr>
          <w:r>
            <w:fldChar w:fldCharType="begin"/>
          </w:r>
          <w:r>
            <w:instrText xml:space="preserve"> HYPERLINK \l _Toc1187232207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_Toc1187232207 \h </w:instrText>
          </w:r>
          <w:r>
            <w:fldChar w:fldCharType="separate"/>
          </w:r>
          <w:r>
            <w:t>9</w:t>
          </w:r>
          <w:r>
            <w:fldChar w:fldCharType="end"/>
          </w:r>
          <w:r>
            <w:fldChar w:fldCharType="end"/>
          </w:r>
        </w:p>
        <w:p>
          <w:pPr>
            <w:pStyle w:val="6"/>
            <w:tabs>
              <w:tab w:val="right" w:leader="dot" w:pos="8845"/>
            </w:tabs>
          </w:pPr>
          <w:r>
            <w:fldChar w:fldCharType="begin"/>
          </w:r>
          <w:r>
            <w:instrText xml:space="preserve"> HYPERLINK \l _Toc647513125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_Toc647513125 \h </w:instrText>
          </w:r>
          <w:r>
            <w:fldChar w:fldCharType="separate"/>
          </w:r>
          <w:r>
            <w:t>9</w:t>
          </w:r>
          <w:r>
            <w:fldChar w:fldCharType="end"/>
          </w:r>
          <w:r>
            <w:fldChar w:fldCharType="end"/>
          </w:r>
        </w:p>
        <w:p>
          <w:pPr>
            <w:pStyle w:val="6"/>
            <w:tabs>
              <w:tab w:val="right" w:leader="dot" w:pos="8845"/>
            </w:tabs>
          </w:pPr>
          <w:r>
            <w:fldChar w:fldCharType="begin"/>
          </w:r>
          <w:r>
            <w:instrText xml:space="preserve"> HYPERLINK \l _Toc454049360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_Toc454049360 \h </w:instrText>
          </w:r>
          <w:r>
            <w:fldChar w:fldCharType="separate"/>
          </w:r>
          <w:r>
            <w:t>9</w:t>
          </w:r>
          <w:r>
            <w:fldChar w:fldCharType="end"/>
          </w:r>
          <w:r>
            <w:fldChar w:fldCharType="end"/>
          </w:r>
        </w:p>
        <w:p>
          <w:pPr>
            <w:pStyle w:val="6"/>
            <w:tabs>
              <w:tab w:val="right" w:leader="dot" w:pos="8845"/>
            </w:tabs>
          </w:pPr>
          <w:r>
            <w:fldChar w:fldCharType="begin"/>
          </w:r>
          <w:r>
            <w:instrText xml:space="preserve"> HYPERLINK \l _Toc881786520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_Toc881786520 \h </w:instrText>
          </w:r>
          <w:r>
            <w:fldChar w:fldCharType="separate"/>
          </w:r>
          <w:r>
            <w:t>9</w:t>
          </w:r>
          <w:r>
            <w:fldChar w:fldCharType="end"/>
          </w:r>
          <w:r>
            <w:fldChar w:fldCharType="end"/>
          </w:r>
        </w:p>
        <w:p>
          <w:pPr>
            <w:pStyle w:val="9"/>
            <w:tabs>
              <w:tab w:val="right" w:leader="dot" w:pos="8845"/>
            </w:tabs>
          </w:pPr>
          <w:r>
            <w:fldChar w:fldCharType="begin"/>
          </w:r>
          <w:r>
            <w:instrText xml:space="preserve"> HYPERLINK \l _Toc316525608 </w:instrText>
          </w:r>
          <w:r>
            <w:fldChar w:fldCharType="separate"/>
          </w:r>
          <w:r>
            <w:rPr>
              <w:rFonts w:hint="eastAsia" w:ascii="楷体_GB2312" w:hAnsi="楷体_GB2312" w:eastAsia="楷体_GB2312" w:cs="楷体_GB2312"/>
              <w:szCs w:val="32"/>
              <w:lang w:val="en-US" w:eastAsia="zh-CN"/>
            </w:rPr>
            <w:t>（一）机关运行经费</w:t>
          </w:r>
          <w:r>
            <w:tab/>
          </w:r>
          <w:r>
            <w:t>10</w:t>
          </w:r>
          <w:r>
            <w:fldChar w:fldCharType="begin"/>
          </w:r>
          <w:r>
            <w:instrText xml:space="preserve"> PAGEREF _Toc316525608 \h </w:instrText>
          </w:r>
          <w:r>
            <w:fldChar w:fldCharType="separate"/>
          </w:r>
          <w:r>
            <w:fldChar w:fldCharType="end"/>
          </w:r>
          <w:r>
            <w:fldChar w:fldCharType="end"/>
          </w:r>
        </w:p>
        <w:p>
          <w:pPr>
            <w:pStyle w:val="9"/>
            <w:tabs>
              <w:tab w:val="right" w:leader="dot" w:pos="8845"/>
            </w:tabs>
          </w:pPr>
          <w:r>
            <w:fldChar w:fldCharType="begin"/>
          </w:r>
          <w:r>
            <w:instrText xml:space="preserve"> HYPERLINK \l _Toc227461779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_Toc227461779 \h </w:instrText>
          </w:r>
          <w:r>
            <w:fldChar w:fldCharType="separate"/>
          </w:r>
          <w:r>
            <w:t>10</w:t>
          </w:r>
          <w:r>
            <w:fldChar w:fldCharType="end"/>
          </w:r>
          <w:r>
            <w:fldChar w:fldCharType="end"/>
          </w:r>
        </w:p>
        <w:p>
          <w:pPr>
            <w:pStyle w:val="9"/>
            <w:tabs>
              <w:tab w:val="right" w:leader="dot" w:pos="8845"/>
            </w:tabs>
          </w:pPr>
          <w:r>
            <w:fldChar w:fldCharType="begin"/>
          </w:r>
          <w:r>
            <w:instrText xml:space="preserve"> HYPERLINK \l _Toc1354407090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_Toc1354407090 \h </w:instrText>
          </w:r>
          <w:r>
            <w:fldChar w:fldCharType="separate"/>
          </w:r>
          <w:r>
            <w:t>10</w:t>
          </w:r>
          <w:r>
            <w:fldChar w:fldCharType="end"/>
          </w:r>
          <w:r>
            <w:fldChar w:fldCharType="end"/>
          </w:r>
        </w:p>
        <w:p>
          <w:pPr>
            <w:pStyle w:val="9"/>
            <w:tabs>
              <w:tab w:val="right" w:leader="dot" w:pos="8845"/>
            </w:tabs>
          </w:pPr>
          <w:r>
            <w:fldChar w:fldCharType="begin"/>
          </w:r>
          <w:r>
            <w:instrText xml:space="preserve"> HYPERLINK \l _Toc1645780630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_Toc1645780630 \h </w:instrText>
          </w:r>
          <w:r>
            <w:fldChar w:fldCharType="separate"/>
          </w:r>
          <w:r>
            <w:t>10</w:t>
          </w:r>
          <w:r>
            <w:fldChar w:fldCharType="end"/>
          </w:r>
          <w:r>
            <w:fldChar w:fldCharType="end"/>
          </w:r>
        </w:p>
        <w:p>
          <w:pPr>
            <w:pStyle w:val="6"/>
            <w:tabs>
              <w:tab w:val="right" w:leader="dot" w:pos="8845"/>
            </w:tabs>
          </w:pPr>
          <w:r>
            <w:fldChar w:fldCharType="begin"/>
          </w:r>
          <w:r>
            <w:instrText xml:space="preserve"> HYPERLINK \l _Toc2066605416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_Toc2066605416 \h </w:instrText>
          </w:r>
          <w:r>
            <w:fldChar w:fldCharType="separate"/>
          </w:r>
          <w:r>
            <w:t>10</w:t>
          </w:r>
          <w:r>
            <w:fldChar w:fldCharType="end"/>
          </w:r>
          <w:r>
            <w:fldChar w:fldCharType="end"/>
          </w:r>
        </w:p>
        <w:p>
          <w:r>
            <w:fldChar w:fldCharType="end"/>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1"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p>
      </w:sdtContent>
    </w:sdt>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1"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0" w:name="_Toc1401259755"/>
      <w:bookmarkStart w:id="1" w:name="_Toc207335974"/>
      <w:bookmarkStart w:id="2" w:name="_Toc1707108510"/>
      <w:r>
        <w:rPr>
          <w:rFonts w:hint="eastAsia" w:ascii="黑体" w:hAnsi="黑体" w:eastAsia="黑体" w:cs="黑体"/>
          <w:color w:val="auto"/>
          <w:sz w:val="32"/>
          <w:szCs w:val="32"/>
          <w:lang w:val="en-US" w:eastAsia="zh-CN"/>
        </w:rPr>
        <w:t>一、基本职能及主要工作</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3" w:name="_Toc2102488326"/>
      <w:bookmarkStart w:id="4" w:name="_Toc1636206340"/>
      <w:bookmarkStart w:id="5" w:name="_Toc507715473"/>
      <w:r>
        <w:rPr>
          <w:rFonts w:hint="eastAsia" w:ascii="楷体_GB2312" w:hAnsi="楷体_GB2312" w:eastAsia="楷体_GB2312" w:cs="楷体_GB2312"/>
          <w:color w:val="auto"/>
          <w:sz w:val="32"/>
          <w:szCs w:val="32"/>
        </w:rPr>
        <w:t>（一）</w:t>
      </w:r>
      <w:r>
        <w:rPr>
          <w:rFonts w:hint="eastAsia" w:ascii="楷体_GB2312" w:hAnsi="楷体_GB2312" w:eastAsia="楷体_GB2312" w:cs="楷体_GB2312"/>
          <w:color w:val="auto"/>
          <w:sz w:val="32"/>
          <w:szCs w:val="32"/>
          <w:lang w:val="en-US" w:eastAsia="zh-CN"/>
        </w:rPr>
        <w:t>广元市住房保障和房地产事务中心</w:t>
      </w:r>
      <w:r>
        <w:rPr>
          <w:rFonts w:hint="eastAsia" w:ascii="楷体_GB2312" w:hAnsi="楷体_GB2312" w:eastAsia="楷体_GB2312" w:cs="楷体_GB2312"/>
          <w:color w:val="auto"/>
          <w:sz w:val="32"/>
          <w:szCs w:val="32"/>
        </w:rPr>
        <w:t>职能简介</w:t>
      </w:r>
      <w:bookmarkEnd w:id="3"/>
      <w:bookmarkEnd w:id="4"/>
      <w:bookmarkEnd w:id="5"/>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1.贯彻执行国家、省、市有关住房保障和房地产市场相关法律、法规及政策、制度。</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2.承担编制保障性住房发展规划、房地产中长期规划、棚户区改造计划相关事务工作。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负责房地产企业、房地产中介机构及从业人员的信用信息、企业及人员库、统计数据的建立及管理，承担房地产企业、房地产中介机构行业规范事务工作。负责预售商品房、存量商品房的合同网签备案，承担房地产交易档案、数据及信息化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4.负责物业服务企业及从业人员的信用信息、住宅专项维修资金的归集及使用相关事务工作。负责城镇老旧小区政策咨询指导、协调项目推进、项目库建立工作。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5.承担既有房屋使用安全的指导、组织排查、白蚁防治等工作。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6.承担国有土地上房屋征收补偿相关事务工作。</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7.负责房屋信息化和房地产市场服务数据统计、情况分析、市场调查、涉房信访相关工作。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color w:val="auto"/>
          <w:sz w:val="32"/>
          <w:szCs w:val="32"/>
        </w:rPr>
      </w:pPr>
      <w:r>
        <w:rPr>
          <w:rFonts w:hint="eastAsia" w:ascii="仿宋_GB2312" w:hAnsi="仿宋_GB2312" w:eastAsia="仿宋_GB2312" w:cs="仿宋_GB2312"/>
          <w:color w:val="auto"/>
          <w:kern w:val="2"/>
          <w:sz w:val="32"/>
          <w:szCs w:val="32"/>
          <w:lang w:val="en-US" w:eastAsia="zh-CN" w:bidi="ar-SA"/>
        </w:rPr>
        <w:t>8.负责统筹推进全市村镇建设。承担指导农村住房建设、农村房屋安全隐患排查、农村危房土坯房改造、村镇建设试点、中心镇建设和历史文化名镇（村）、传统村落、乡土建筑保护相关事务工作。承担促进乡村振兴发展相关事务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6" w:name="_Toc1790909815"/>
      <w:bookmarkStart w:id="7" w:name="_Toc1291449772"/>
      <w:bookmarkStart w:id="8" w:name="_Toc1006718683"/>
      <w:r>
        <w:rPr>
          <w:rFonts w:hint="eastAsia" w:ascii="楷体_GB2312" w:hAnsi="楷体_GB2312" w:eastAsia="楷体_GB2312" w:cs="楷体_GB2312"/>
          <w:color w:val="auto"/>
          <w:sz w:val="32"/>
          <w:szCs w:val="32"/>
        </w:rPr>
        <w:t>（二）</w:t>
      </w:r>
      <w:r>
        <w:rPr>
          <w:rFonts w:hint="eastAsia" w:ascii="楷体_GB2312" w:hAnsi="楷体_GB2312" w:eastAsia="楷体_GB2312" w:cs="楷体_GB2312"/>
          <w:color w:val="auto"/>
          <w:sz w:val="32"/>
          <w:szCs w:val="32"/>
          <w:lang w:val="en-US" w:eastAsia="zh-CN"/>
        </w:rPr>
        <w:t>广元市住房保障和房地产事务中心</w:t>
      </w:r>
      <w:r>
        <w:rPr>
          <w:rFonts w:hint="eastAsia" w:ascii="楷体_GB2312" w:hAnsi="楷体_GB2312" w:eastAsia="楷体_GB2312" w:cs="楷体_GB2312"/>
          <w:color w:val="auto"/>
          <w:sz w:val="32"/>
          <w:szCs w:val="32"/>
          <w:lang w:val="en-US"/>
        </w:rPr>
        <w:t>2024</w:t>
      </w:r>
      <w:r>
        <w:rPr>
          <w:rFonts w:hint="eastAsia" w:ascii="楷体_GB2312" w:hAnsi="楷体_GB2312" w:eastAsia="楷体_GB2312" w:cs="楷体_GB2312"/>
          <w:color w:val="auto"/>
          <w:sz w:val="32"/>
          <w:szCs w:val="32"/>
        </w:rPr>
        <w:t>年重点工作</w:t>
      </w:r>
      <w:bookmarkEnd w:id="6"/>
      <w:bookmarkEnd w:id="7"/>
      <w:bookmarkEnd w:id="8"/>
    </w:p>
    <w:p>
      <w:pPr>
        <w:keepNext w:val="0"/>
        <w:keepLines w:val="0"/>
        <w:pageBreakBefore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b/>
          <w:bCs/>
          <w:color w:val="auto"/>
          <w:sz w:val="32"/>
          <w:szCs w:val="32"/>
          <w:lang w:val="en-US" w:eastAsia="zh-CN"/>
        </w:rPr>
        <w:t>一是持续完善住房保障体系。</w:t>
      </w:r>
      <w:r>
        <w:rPr>
          <w:rFonts w:hint="eastAsia" w:ascii="仿宋_GB2312" w:hAnsi="仿宋_GB2312" w:eastAsia="仿宋_GB2312" w:cs="仿宋_GB2312"/>
          <w:color w:val="auto"/>
          <w:kern w:val="2"/>
          <w:sz w:val="32"/>
          <w:szCs w:val="32"/>
          <w:lang w:val="en-US" w:eastAsia="zh-CN" w:bidi="ar-SA"/>
        </w:rPr>
        <w:t>大力推进棚户区项目实施，全面梳理市城区12个在建棚户区情况，按照“一项目一方案”的原则，提出处理建议，助推项目快速推进；安排部署各县区进一步整治公租房领域突出问题，规范公租房管理，积极对接保险行业协会、银保监局出台广元市公租房保险实施细则，降低公租房运营成本，同时进一步规范保障性安居工程项目申报、资金争取、债券发行等程序，积极发挥民生项目实效；保障性租赁住房建设将明确指标到项目、责任到县区、落实到单位，加强统筹协调与督导，紧扣“以问题促整改、以整改促规范”主线，通过建立问题整改“挂销号”清单制，实行“问题清单”和“整改清单”有机对接，加强绩效评价问题的跟踪检查与督查，确保剩余发现问题按期整改到位。</w:t>
      </w:r>
      <w:r>
        <w:rPr>
          <w:rFonts w:hint="eastAsia" w:ascii="楷体_GB2312" w:hAnsi="楷体_GB2312" w:eastAsia="楷体_GB2312" w:cs="楷体_GB2312"/>
          <w:b/>
          <w:bCs/>
          <w:color w:val="auto"/>
          <w:sz w:val="32"/>
          <w:szCs w:val="32"/>
          <w:lang w:val="en-US" w:eastAsia="zh-CN"/>
        </w:rPr>
        <w:t>二是细化危旧房摸底调查工作举措。</w:t>
      </w:r>
      <w:r>
        <w:rPr>
          <w:rFonts w:hint="eastAsia" w:ascii="仿宋_GB2312" w:hAnsi="仿宋_GB2312" w:eastAsia="仿宋_GB2312" w:cs="仿宋_GB2312"/>
          <w:color w:val="auto"/>
          <w:sz w:val="32"/>
          <w:szCs w:val="40"/>
        </w:rPr>
        <w:t>坚持人民至上生命至上，督促县区对摸底调查中发现的存在严重安全隐患、已不具备居住使用条件的危旧房，立即采取果断措施停止使用，做到“人不进危房、危房不进人”</w:t>
      </w:r>
      <w:r>
        <w:rPr>
          <w:rFonts w:hint="eastAsia" w:ascii="仿宋_GB2312" w:hAnsi="仿宋_GB2312" w:eastAsia="仿宋_GB2312" w:cs="仿宋_GB2312"/>
          <w:color w:val="auto"/>
          <w:sz w:val="32"/>
          <w:szCs w:val="40"/>
          <w:lang w:eastAsia="zh-CN"/>
        </w:rPr>
        <w:t>，</w:t>
      </w:r>
      <w:r>
        <w:rPr>
          <w:rFonts w:hint="eastAsia" w:ascii="仿宋_GB2312" w:hAnsi="仿宋_GB2312" w:eastAsia="仿宋_GB2312" w:cs="仿宋_GB2312"/>
          <w:color w:val="auto"/>
          <w:sz w:val="32"/>
          <w:szCs w:val="40"/>
        </w:rPr>
        <w:t>在现有摸底基础上及时开展“回头看”，认真核实房屋安全鉴定情况，避免鉴定错误。</w:t>
      </w:r>
      <w:r>
        <w:rPr>
          <w:rFonts w:hint="eastAsia" w:ascii="仿宋_GB2312" w:hAnsi="仿宋_GB2312" w:eastAsia="仿宋_GB2312" w:cs="仿宋_GB2312"/>
          <w:color w:val="auto"/>
          <w:sz w:val="32"/>
          <w:szCs w:val="40"/>
          <w:lang w:eastAsia="zh-CN"/>
        </w:rPr>
        <w:t>下步</w:t>
      </w:r>
      <w:r>
        <w:rPr>
          <w:rFonts w:hint="eastAsia" w:ascii="仿宋_GB2312" w:hAnsi="仿宋_GB2312" w:eastAsia="仿宋_GB2312" w:cs="仿宋_GB2312"/>
          <w:color w:val="auto"/>
          <w:sz w:val="32"/>
          <w:szCs w:val="40"/>
        </w:rPr>
        <w:t>将积极学习</w:t>
      </w:r>
      <w:r>
        <w:rPr>
          <w:rFonts w:hint="eastAsia" w:ascii="仿宋_GB2312" w:hAnsi="仿宋_GB2312" w:eastAsia="仿宋_GB2312" w:cs="仿宋_GB2312"/>
          <w:color w:val="auto"/>
          <w:sz w:val="32"/>
          <w:szCs w:val="40"/>
          <w:lang w:eastAsia="zh-CN"/>
        </w:rPr>
        <w:t>其他市州先进</w:t>
      </w:r>
      <w:r>
        <w:rPr>
          <w:rFonts w:hint="eastAsia" w:ascii="仿宋_GB2312" w:hAnsi="仿宋_GB2312" w:eastAsia="仿宋_GB2312" w:cs="仿宋_GB2312"/>
          <w:color w:val="auto"/>
          <w:sz w:val="32"/>
          <w:szCs w:val="40"/>
        </w:rPr>
        <w:t>经验，待中央、省正式出台相关政策后，结合广元实际，及时制定出台广元危旧房屋改造政策。</w:t>
      </w:r>
      <w:r>
        <w:rPr>
          <w:rFonts w:hint="eastAsia" w:ascii="楷体_GB2312" w:hAnsi="楷体_GB2312" w:eastAsia="楷体_GB2312" w:cs="楷体_GB2312"/>
          <w:b/>
          <w:bCs/>
          <w:color w:val="auto"/>
          <w:sz w:val="32"/>
          <w:szCs w:val="32"/>
          <w:lang w:val="en-US" w:eastAsia="zh-CN"/>
        </w:rPr>
        <w:t>三是进一步促进房地产市场平稳健康发展。</w:t>
      </w:r>
      <w:r>
        <w:rPr>
          <w:rFonts w:hint="eastAsia" w:ascii="仿宋_GB2312" w:hAnsi="仿宋_GB2312" w:eastAsia="仿宋_GB2312" w:cs="仿宋_GB2312"/>
          <w:color w:val="auto"/>
          <w:kern w:val="2"/>
          <w:sz w:val="32"/>
          <w:szCs w:val="32"/>
          <w:lang w:val="en-US" w:eastAsia="zh-CN" w:bidi="ar-SA"/>
        </w:rPr>
        <w:t>强化自然资源、住建、税务、金融、公安、法院、市场监管、信访、人社等部门联动，实现化解常态化。要压紧压实房企自救责任，多种方式引导企业瘦身自救，加大项目资金监管力度，依法打击各类违法犯罪行为，主动向问题楼盘化解处置成效良好的城市学习；</w:t>
      </w:r>
      <w:r>
        <w:rPr>
          <w:rFonts w:hint="eastAsia" w:ascii="仿宋_GB2312" w:eastAsia="仿宋_GB2312" w:cs="FZXBSK--GBK1-0"/>
          <w:color w:val="auto"/>
          <w:kern w:val="0"/>
          <w:sz w:val="32"/>
          <w:szCs w:val="32"/>
        </w:rPr>
        <w:t>认</w:t>
      </w:r>
      <w:r>
        <w:rPr>
          <w:rFonts w:hint="eastAsia" w:ascii="仿宋_GB2312" w:eastAsia="仿宋_GB2312" w:cs="仿宋_GB2312"/>
          <w:color w:val="auto"/>
          <w:sz w:val="32"/>
          <w:szCs w:val="32"/>
        </w:rPr>
        <w:t>真积极落实中央</w:t>
      </w:r>
      <w:r>
        <w:rPr>
          <w:rFonts w:hint="eastAsia" w:ascii="仿宋_GB2312" w:hAnsi="Calibri" w:eastAsia="仿宋_GB2312" w:cs="Times New Roman"/>
          <w:color w:val="auto"/>
          <w:sz w:val="32"/>
          <w:szCs w:val="32"/>
        </w:rPr>
        <w:t>、省</w:t>
      </w:r>
      <w:r>
        <w:rPr>
          <w:rFonts w:hint="eastAsia" w:ascii="仿宋_GB2312" w:eastAsia="仿宋_GB2312" w:cs="仿宋_GB2312"/>
          <w:color w:val="auto"/>
          <w:sz w:val="32"/>
          <w:szCs w:val="32"/>
        </w:rPr>
        <w:t>出台激励市场的文件，</w:t>
      </w:r>
      <w:r>
        <w:rPr>
          <w:rFonts w:hint="eastAsia" w:ascii="仿宋_GB2312" w:hAnsi="Calibri" w:eastAsia="仿宋_GB2312" w:cs="Times New Roman"/>
          <w:color w:val="auto"/>
          <w:sz w:val="32"/>
          <w:szCs w:val="32"/>
        </w:rPr>
        <w:t>探索、优化房地产政策，取消商品房备案价格联审机制，加快商品房上市速度。</w:t>
      </w:r>
      <w:r>
        <w:rPr>
          <w:rFonts w:hint="eastAsia" w:ascii="仿宋_GB2312" w:eastAsia="仿宋_GB2312" w:cs="仿宋_GB2312"/>
          <w:color w:val="auto"/>
          <w:sz w:val="32"/>
          <w:szCs w:val="32"/>
          <w:lang w:eastAsia="zh-CN"/>
        </w:rPr>
        <w:t>加快出台</w:t>
      </w:r>
      <w:r>
        <w:rPr>
          <w:rFonts w:hint="eastAsia" w:ascii="仿宋_GB2312" w:hAnsi="Calibri" w:eastAsia="仿宋_GB2312" w:cs="Times New Roman"/>
          <w:color w:val="auto"/>
          <w:sz w:val="32"/>
          <w:szCs w:val="32"/>
        </w:rPr>
        <w:t>《广元市促进房地产市场平稳健康措施》《关于推进广元市征地征收房票安置试点工作的通知</w:t>
      </w:r>
      <w:r>
        <w:rPr>
          <w:rFonts w:hint="eastAsia" w:ascii="仿宋_GB2312" w:eastAsia="仿宋_GB2312" w:cs="仿宋_GB2312"/>
          <w:color w:val="auto"/>
          <w:sz w:val="32"/>
          <w:szCs w:val="32"/>
        </w:rPr>
        <w:t>》，通过房票、财政补贴等激发销售市场活力。</w:t>
      </w:r>
      <w:r>
        <w:rPr>
          <w:rFonts w:hint="eastAsia" w:ascii="仿宋_GB2312" w:hAnsi="仿宋_GB2312" w:eastAsia="仿宋_GB2312" w:cs="仿宋_GB2312"/>
          <w:color w:val="auto"/>
          <w:sz w:val="32"/>
          <w:szCs w:val="32"/>
        </w:rPr>
        <w:t>加强房地产营销力度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全力支持房地产开发企业对特定群体开展住房团购促销活动。借鉴“他山之石”，通过政府补贴、企业让利等方式举办房交会，组织到其他城市开展推介、集中外出巡展等活动。</w:t>
      </w:r>
      <w:r>
        <w:rPr>
          <w:rFonts w:hint="eastAsia" w:ascii="楷体_GB2312" w:hAnsi="楷体_GB2312" w:eastAsia="楷体_GB2312" w:cs="楷体_GB2312"/>
          <w:b/>
          <w:bCs/>
          <w:color w:val="auto"/>
          <w:sz w:val="32"/>
          <w:szCs w:val="32"/>
          <w:lang w:val="en-US" w:eastAsia="zh-CN"/>
        </w:rPr>
        <w:t>四是大力提升物业服务水平。</w:t>
      </w:r>
      <w:r>
        <w:rPr>
          <w:rFonts w:hint="eastAsia" w:ascii="仿宋_GB2312" w:hAnsi="仿宋_GB2312" w:eastAsia="仿宋_GB2312" w:cs="仿宋_GB2312"/>
          <w:color w:val="auto"/>
          <w:kern w:val="2"/>
          <w:sz w:val="32"/>
          <w:szCs w:val="32"/>
          <w:lang w:val="en-US" w:eastAsia="zh-CN" w:bidi="ar-SA"/>
        </w:rPr>
        <w:t>突出党建引领，切实化解居民矛盾纠纷。由社区支部牵头制定社区、小区党组织、业委会、物业企业四方联动制度，多方参与形成合力，发挥党支部战斗堡垒和党员的模范带头作用，将矛盾化解在小区基层。加快成立市物业协会，以物业协会为抓手，整合老旧小区（院落）、三无小区等资源，提升物业覆盖率；开展物业从业人员培训，提高从业人员素质，促进行业自律，提升我市物业行业服务水平。加强《条例》宣传力度。持续开展《条例》宣传工作，利用新闻媒体、培训会、《条例》进小区等活动，引导物业服务企业、业主依法办事、遇事找法、化解矛盾靠法的良好习惯。</w:t>
      </w:r>
      <w:r>
        <w:rPr>
          <w:rFonts w:hint="eastAsia" w:ascii="楷体_GB2312" w:hAnsi="楷体_GB2312" w:eastAsia="楷体_GB2312" w:cs="楷体_GB2312"/>
          <w:b/>
          <w:bCs/>
          <w:color w:val="auto"/>
          <w:sz w:val="32"/>
          <w:szCs w:val="32"/>
          <w:lang w:val="en-US" w:eastAsia="zh-CN"/>
        </w:rPr>
        <w:t>五是推动房地产信息化建设提升。</w:t>
      </w:r>
      <w:r>
        <w:rPr>
          <w:rFonts w:hint="eastAsia" w:ascii="仿宋_GB2312" w:hAnsi="仿宋_GB2312" w:eastAsia="仿宋_GB2312" w:cs="仿宋_GB2312"/>
          <w:color w:val="auto"/>
          <w:sz w:val="32"/>
          <w:szCs w:val="32"/>
          <w:lang w:val="en-US" w:eastAsia="zh-CN"/>
        </w:rPr>
        <w:t>积极争取项目资金，新建物业管理服务平台、住宅维修资金会计核算系统，整合现有房地产交易系统、预售资金管理系统等房地产领域各类管理平台、业务办理平台，建立全市统一的房地产综合管理平台，横向与不动产、银行等相关部门对接，实现数据及时交换共享，纵向连接各县区和省平台，力争房地产领域事项全部实现“一网通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9" w:name="_Toc949197238"/>
      <w:bookmarkStart w:id="10" w:name="_Toc437934934"/>
      <w:bookmarkStart w:id="11" w:name="_Toc126960788"/>
      <w:r>
        <w:rPr>
          <w:rFonts w:hint="eastAsia" w:ascii="黑体" w:hAnsi="黑体" w:eastAsia="黑体" w:cs="黑体"/>
          <w:color w:val="auto"/>
          <w:sz w:val="32"/>
          <w:szCs w:val="32"/>
          <w:lang w:val="en-US" w:eastAsia="zh-CN"/>
        </w:rPr>
        <w:t>二、部门预算单位构成</w:t>
      </w:r>
      <w:bookmarkEnd w:id="9"/>
      <w:bookmarkEnd w:id="10"/>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我单位为广元市住房和城乡建设局的下属二级预算单位，本单位无下属机构，设有内设机构7个。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2" w:name="_Toc1852249324"/>
      <w:bookmarkStart w:id="13" w:name="_Toc1623677495"/>
      <w:bookmarkStart w:id="14" w:name="_Toc1664088543"/>
      <w:r>
        <w:rPr>
          <w:rFonts w:hint="eastAsia" w:ascii="黑体" w:hAnsi="黑体" w:eastAsia="黑体" w:cs="黑体"/>
          <w:color w:val="auto"/>
          <w:sz w:val="32"/>
          <w:szCs w:val="32"/>
          <w:lang w:val="en-US" w:eastAsia="zh-CN"/>
        </w:rPr>
        <w:t>三、收支预算情况说明</w:t>
      </w:r>
      <w:bookmarkEnd w:id="12"/>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按照综合预算的原则，</w:t>
      </w: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所有收入和支出均纳入部门预算管理。收入包括：一般公共预算拨款收入；支出包括：</w:t>
      </w:r>
      <w:r>
        <w:rPr>
          <w:rFonts w:hint="eastAsia" w:ascii="仿宋_GB2312" w:hAnsi="仿宋_GB2312" w:eastAsia="仿宋_GB2312" w:cs="仿宋_GB2312"/>
          <w:color w:val="auto"/>
          <w:kern w:val="0"/>
          <w:sz w:val="32"/>
          <w:szCs w:val="32"/>
          <w:lang w:val="en-US" w:eastAsia="zh-CN"/>
        </w:rPr>
        <w:t>社会保障和就业支出、卫生健康支出、城乡社区支出、住房保障支出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2024年收支预算总数704.96万元,比2023年收支预算总数增加14.63万元，主要原因是人员经费增加。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5" w:name="_Toc390537039"/>
      <w:bookmarkStart w:id="16" w:name="_Toc929348119"/>
      <w:bookmarkStart w:id="17" w:name="_Toc1341570373"/>
      <w:r>
        <w:rPr>
          <w:rFonts w:hint="eastAsia" w:ascii="楷体_GB2312" w:hAnsi="楷体_GB2312" w:eastAsia="楷体_GB2312" w:cs="楷体_GB2312"/>
          <w:color w:val="auto"/>
          <w:sz w:val="32"/>
          <w:szCs w:val="32"/>
          <w:lang w:val="en-US" w:eastAsia="zh-CN"/>
        </w:rPr>
        <w:t>（一）收入预算情况</w:t>
      </w:r>
      <w:bookmarkEnd w:id="15"/>
      <w:bookmarkEnd w:id="16"/>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2024年收入预算704.96万元，其中：一般公共预算拨款收入704.96万元，占100%；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8" w:name="_Toc1342521943"/>
      <w:bookmarkStart w:id="19" w:name="_Toc1082257977"/>
      <w:bookmarkStart w:id="20" w:name="_Toc778066257"/>
      <w:r>
        <w:rPr>
          <w:rFonts w:hint="eastAsia" w:ascii="楷体_GB2312" w:hAnsi="楷体_GB2312" w:eastAsia="楷体_GB2312" w:cs="楷体_GB2312"/>
          <w:color w:val="auto"/>
          <w:sz w:val="32"/>
          <w:szCs w:val="32"/>
          <w:lang w:val="en-US" w:eastAsia="zh-CN"/>
        </w:rPr>
        <w:t>（二）支出预算情况</w:t>
      </w:r>
      <w:bookmarkEnd w:id="18"/>
      <w:bookmarkEnd w:id="19"/>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2024年支出预算704.96万元，其中：基本支出666.15万元，占94.49%；项目支出38.82万元，占5.51%</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21" w:name="_Toc1922415551"/>
      <w:bookmarkStart w:id="22" w:name="_Toc1660242538"/>
      <w:bookmarkStart w:id="23" w:name="_Toc2036769667"/>
      <w:r>
        <w:rPr>
          <w:rFonts w:hint="eastAsia" w:ascii="黑体" w:hAnsi="黑体" w:eastAsia="黑体" w:cs="黑体"/>
          <w:color w:val="auto"/>
          <w:sz w:val="32"/>
          <w:szCs w:val="32"/>
          <w:lang w:val="en-US" w:eastAsia="zh-CN"/>
        </w:rPr>
        <w:t>四、财政拨款收支预算情况说明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2024年财政拨款收支预算总数704.96万元,比2023年财政拨款收支预算总数增加14.63万元，主要原因是人员经费增加。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收入包括：本年一般公共预算拨款收入704.96万元；支出包括：</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社会保障和就业支出60.04万元、卫生健康支出19.36万元、城乡社区支出574.06万元、住房保障支出51.51万元</w:t>
      </w:r>
      <w:r>
        <w:rPr>
          <w:rFonts w:hint="default" w:ascii="仿宋_GB2312" w:hAnsi="仿宋_GB2312" w:eastAsia="仿宋_GB2312" w:cs="仿宋_GB2312"/>
          <w:i w:val="0"/>
          <w:caps w:val="0"/>
          <w:color w:val="auto"/>
          <w:spacing w:val="0"/>
          <w:kern w:val="0"/>
          <w:sz w:val="32"/>
          <w:szCs w:val="32"/>
          <w:shd w:val="clear" w:color="auto" w:fill="FFFFFF"/>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24" w:name="_Toc1590799319"/>
      <w:bookmarkStart w:id="25" w:name="_Toc2065731219"/>
      <w:bookmarkStart w:id="26" w:name="_Toc197839539"/>
      <w:r>
        <w:rPr>
          <w:rFonts w:hint="eastAsia" w:ascii="黑体" w:hAnsi="黑体" w:eastAsia="黑体" w:cs="黑体"/>
          <w:color w:val="auto"/>
          <w:sz w:val="32"/>
          <w:szCs w:val="32"/>
          <w:lang w:val="en-US" w:eastAsia="zh-CN"/>
        </w:rPr>
        <w:t>五、一般公共预算当年拨款情况说明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7" w:name="_Toc507132989"/>
      <w:bookmarkStart w:id="28" w:name="_Toc982745662"/>
      <w:bookmarkStart w:id="29" w:name="_Toc967020884"/>
      <w:r>
        <w:rPr>
          <w:rFonts w:hint="eastAsia" w:ascii="楷体_GB2312" w:hAnsi="楷体_GB2312" w:eastAsia="楷体_GB2312" w:cs="楷体_GB2312"/>
          <w:color w:val="auto"/>
          <w:sz w:val="32"/>
          <w:szCs w:val="32"/>
          <w:lang w:val="en-US" w:eastAsia="zh-CN"/>
        </w:rPr>
        <w:t>（一）一般公共预算当年拨款规模变化情况</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2024年一般公共预算当年拨款704.96万元，比2023年预算数增加14.63万元，主要原因是人员经费增加。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30" w:name="_Toc86134664"/>
      <w:bookmarkStart w:id="31" w:name="_Toc1794407971"/>
      <w:bookmarkStart w:id="32" w:name="_Toc678876375"/>
      <w:r>
        <w:rPr>
          <w:rFonts w:hint="eastAsia" w:ascii="楷体_GB2312" w:hAnsi="楷体_GB2312" w:eastAsia="楷体_GB2312" w:cs="楷体_GB2312"/>
          <w:color w:val="auto"/>
          <w:sz w:val="32"/>
          <w:szCs w:val="32"/>
          <w:lang w:val="en-US" w:eastAsia="zh-CN"/>
        </w:rPr>
        <w:t>（二）一般公共预算当年拨款结构情况</w:t>
      </w:r>
      <w:bookmarkEnd w:id="30"/>
      <w:bookmarkEnd w:id="31"/>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社会保障和就业支出60.04万元，占8.52%；卫生健康支出19.36万元，占2.75%；城乡社区支出574.06万元，占81.43%；住房保障支出51.51万元，占7.3%。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33" w:name="_Toc730311330"/>
      <w:bookmarkStart w:id="34" w:name="_Toc1226734984"/>
      <w:bookmarkStart w:id="35" w:name="_Toc647096388"/>
      <w:r>
        <w:rPr>
          <w:rFonts w:hint="eastAsia" w:ascii="楷体_GB2312" w:hAnsi="楷体_GB2312" w:eastAsia="楷体_GB2312" w:cs="楷体_GB2312"/>
          <w:color w:val="auto"/>
          <w:sz w:val="32"/>
          <w:szCs w:val="32"/>
          <w:lang w:val="en-US" w:eastAsia="zh-CN"/>
        </w:rPr>
        <w:t>（三）一般公共预算当年拨款具体使用情况</w:t>
      </w:r>
      <w:bookmarkEnd w:id="33"/>
      <w:bookmarkEnd w:id="34"/>
      <w:bookmarkEnd w:id="3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1.社会保障和就业（类）行政事业单位养老支出（款）机关事业单位基本养老保险缴费支出（项）2024年预算数为60.04万元，主要用于：实施养老保险制度由单位缴纳的基本养老保险支出。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2.卫生健康（类）行政事业单位医疗（款）事业单位医疗（项）2024年预算数为19.36万元，主要用于：事业单位按规定由单位缴纳的基本医疗保险支出。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kern w:val="0"/>
          <w:sz w:val="32"/>
          <w:szCs w:val="32"/>
          <w:shd w:val="clear" w:color="auto" w:fill="FFFFFF"/>
          <w:lang w:bidi="ar"/>
        </w:rPr>
        <w:t>城乡社区支出</w:t>
      </w:r>
      <w:r>
        <w:rPr>
          <w:rFonts w:hint="eastAsia" w:ascii="仿宋_GB2312" w:hAnsi="仿宋_GB2312" w:eastAsia="仿宋_GB2312" w:cs="仿宋_GB2312"/>
          <w:color w:val="auto"/>
          <w:sz w:val="32"/>
          <w:szCs w:val="32"/>
          <w:lang w:val="en-US" w:eastAsia="zh-CN"/>
        </w:rPr>
        <w:t>（类）</w:t>
      </w:r>
      <w:r>
        <w:rPr>
          <w:rFonts w:hint="eastAsia" w:ascii="仿宋_GB2312" w:hAnsi="仿宋_GB2312" w:eastAsia="仿宋_GB2312" w:cs="仿宋_GB2312"/>
          <w:color w:val="auto"/>
          <w:kern w:val="0"/>
          <w:sz w:val="32"/>
          <w:szCs w:val="32"/>
          <w:shd w:val="clear" w:color="auto" w:fill="FFFFFF"/>
          <w:lang w:bidi="ar"/>
        </w:rPr>
        <w:t>城乡社区管理事务</w:t>
      </w:r>
      <w:r>
        <w:rPr>
          <w:rFonts w:hint="eastAsia" w:ascii="仿宋_GB2312" w:hAnsi="仿宋_GB2312" w:eastAsia="仿宋_GB2312" w:cs="仿宋_GB2312"/>
          <w:color w:val="auto"/>
          <w:sz w:val="32"/>
          <w:szCs w:val="32"/>
          <w:lang w:val="en-US" w:eastAsia="zh-CN"/>
        </w:rPr>
        <w:t>（款）工程建设标准规范编制与监管（项）2024年预算数为2万元，主要用于：房屋安全排查整治。</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color w:val="auto"/>
          <w:kern w:val="0"/>
          <w:sz w:val="32"/>
          <w:szCs w:val="32"/>
          <w:shd w:val="clear" w:color="auto" w:fill="FFFFFF"/>
          <w:lang w:bidi="ar"/>
        </w:rPr>
      </w:pPr>
      <w:r>
        <w:rPr>
          <w:rFonts w:hint="eastAsia" w:ascii="仿宋_GB2312" w:hAnsi="仿宋_GB2312" w:eastAsia="仿宋_GB2312" w:cs="仿宋_GB2312"/>
          <w:color w:val="auto"/>
          <w:kern w:val="0"/>
          <w:sz w:val="32"/>
          <w:szCs w:val="32"/>
          <w:shd w:val="clear" w:color="auto" w:fill="FFFFFF"/>
          <w:lang w:val="en-US" w:eastAsia="zh-CN" w:bidi="ar"/>
        </w:rPr>
        <w:t>4</w:t>
      </w:r>
      <w:r>
        <w:rPr>
          <w:rFonts w:hint="eastAsia" w:ascii="仿宋_GB2312" w:hAnsi="仿宋_GB2312" w:eastAsia="仿宋_GB2312" w:cs="仿宋_GB2312"/>
          <w:color w:val="auto"/>
          <w:kern w:val="0"/>
          <w:sz w:val="32"/>
          <w:szCs w:val="32"/>
          <w:shd w:val="clear" w:color="auto" w:fill="FFFFFF"/>
          <w:lang w:bidi="ar"/>
        </w:rPr>
        <w:t>.城乡社区支出（类）城乡社区管理事务（款）</w:t>
      </w:r>
      <w:r>
        <w:rPr>
          <w:rFonts w:hint="eastAsia" w:ascii="仿宋_GB2312" w:hAnsi="仿宋_GB2312" w:eastAsia="仿宋_GB2312" w:cs="仿宋_GB2312"/>
          <w:color w:val="auto"/>
          <w:kern w:val="0"/>
          <w:sz w:val="32"/>
          <w:szCs w:val="32"/>
          <w:shd w:val="clear" w:color="auto" w:fill="FFFFFF"/>
          <w:lang w:eastAsia="zh-CN" w:bidi="ar"/>
        </w:rPr>
        <w:t>住房建设与房地产市场监管</w:t>
      </w:r>
      <w:r>
        <w:rPr>
          <w:rFonts w:hint="eastAsia" w:ascii="仿宋_GB2312" w:hAnsi="仿宋_GB2312" w:eastAsia="仿宋_GB2312" w:cs="仿宋_GB2312"/>
          <w:color w:val="auto"/>
          <w:kern w:val="0"/>
          <w:sz w:val="32"/>
          <w:szCs w:val="32"/>
          <w:shd w:val="clear" w:color="auto" w:fill="FFFFFF"/>
          <w:lang w:bidi="ar"/>
        </w:rPr>
        <w:t>（项）202</w:t>
      </w:r>
      <w:r>
        <w:rPr>
          <w:rFonts w:hint="eastAsia" w:ascii="仿宋_GB2312" w:hAnsi="仿宋_GB2312" w:eastAsia="仿宋_GB2312" w:cs="仿宋_GB2312"/>
          <w:color w:val="auto"/>
          <w:kern w:val="0"/>
          <w:sz w:val="32"/>
          <w:szCs w:val="32"/>
          <w:shd w:val="clear" w:color="auto" w:fill="FFFFFF"/>
          <w:lang w:val="en-US" w:eastAsia="zh-CN" w:bidi="ar"/>
        </w:rPr>
        <w:t>4</w:t>
      </w:r>
      <w:r>
        <w:rPr>
          <w:rFonts w:hint="eastAsia" w:ascii="仿宋_GB2312" w:hAnsi="仿宋_GB2312" w:eastAsia="仿宋_GB2312" w:cs="仿宋_GB2312"/>
          <w:color w:val="auto"/>
          <w:kern w:val="0"/>
          <w:sz w:val="32"/>
          <w:szCs w:val="32"/>
          <w:shd w:val="clear" w:color="auto" w:fill="FFFFFF"/>
          <w:lang w:bidi="ar"/>
        </w:rPr>
        <w:t>年预算数为</w:t>
      </w:r>
      <w:r>
        <w:rPr>
          <w:rFonts w:hint="eastAsia" w:ascii="仿宋_GB2312" w:hAnsi="仿宋_GB2312" w:eastAsia="仿宋_GB2312" w:cs="仿宋_GB2312"/>
          <w:color w:val="auto"/>
          <w:kern w:val="0"/>
          <w:sz w:val="32"/>
          <w:szCs w:val="32"/>
          <w:shd w:val="clear" w:color="auto" w:fill="FFFFFF"/>
          <w:lang w:val="en-US" w:eastAsia="zh-CN" w:bidi="ar"/>
        </w:rPr>
        <w:t>572.06</w:t>
      </w:r>
      <w:r>
        <w:rPr>
          <w:rFonts w:hint="eastAsia" w:ascii="仿宋_GB2312" w:hAnsi="仿宋_GB2312" w:eastAsia="仿宋_GB2312" w:cs="仿宋_GB2312"/>
          <w:color w:val="auto"/>
          <w:kern w:val="0"/>
          <w:sz w:val="32"/>
          <w:szCs w:val="32"/>
          <w:shd w:val="clear" w:color="auto" w:fill="FFFFFF"/>
          <w:lang w:bidi="ar"/>
        </w:rPr>
        <w:t>万元，主要用于：单位运转基本支出。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5.住房保障（类）住房改革支出（款）住房公积金（项）2024年预算数为51.51万元，主要用于：单位按规定为职工缴纳的住房公积金支出。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36" w:name="_Toc1625155796"/>
      <w:bookmarkStart w:id="37" w:name="_Toc606659725"/>
      <w:bookmarkStart w:id="38" w:name="_Toc676290431"/>
      <w:r>
        <w:rPr>
          <w:rFonts w:hint="eastAsia" w:ascii="黑体" w:hAnsi="黑体" w:eastAsia="黑体" w:cs="黑体"/>
          <w:color w:val="auto"/>
          <w:sz w:val="32"/>
          <w:szCs w:val="32"/>
          <w:lang w:val="en-US" w:eastAsia="zh-CN"/>
        </w:rPr>
        <w:t>六、一般公共预算基本支出情况说明</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2024年一般公共预算基本支出666.15万元，其中：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人员经费605.85万元，主要包括：基本工资、津贴补贴、奖金、绩效工资、</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机关事业单位基本养老保险缴费、职工基本医疗保险、其他社会保障缴费、</w:t>
      </w:r>
      <w:r>
        <w:rPr>
          <w:rFonts w:hint="eastAsia" w:ascii="仿宋_GB2312" w:hAnsi="仿宋_GB2312" w:eastAsia="仿宋_GB2312" w:cs="仿宋_GB2312"/>
          <w:color w:val="auto"/>
          <w:sz w:val="32"/>
          <w:szCs w:val="32"/>
          <w:lang w:val="en-US" w:eastAsia="zh-CN"/>
        </w:rPr>
        <w:t>住房公积金、</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生活补助</w:t>
      </w:r>
      <w:r>
        <w:rPr>
          <w:rFonts w:hint="eastAsia" w:ascii="仿宋_GB2312" w:hAnsi="仿宋_GB2312" w:eastAsia="仿宋_GB2312" w:cs="仿宋_GB2312"/>
          <w:color w:val="auto"/>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公用经费60.3万元，主要包括：办公费、印刷费、水费、电费、物业管理费、差旅费、会议费、培训费、公务接待费、工会经费、福利费、其他交通费用、</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其他商品和服务支出</w:t>
      </w:r>
      <w:r>
        <w:rPr>
          <w:rFonts w:hint="eastAsia" w:ascii="仿宋_GB2312" w:hAnsi="仿宋_GB2312" w:eastAsia="仿宋_GB2312" w:cs="仿宋_GB2312"/>
          <w:color w:val="auto"/>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39" w:name="_Toc1437627061"/>
      <w:bookmarkStart w:id="40" w:name="_Toc764256456"/>
      <w:bookmarkStart w:id="41" w:name="_Toc1930612828"/>
      <w:r>
        <w:rPr>
          <w:rFonts w:hint="eastAsia" w:ascii="黑体" w:hAnsi="黑体" w:eastAsia="黑体" w:cs="黑体"/>
          <w:color w:val="auto"/>
          <w:sz w:val="32"/>
          <w:szCs w:val="32"/>
          <w:lang w:val="en-US" w:eastAsia="zh-CN"/>
        </w:rPr>
        <w:t>七、“三公”经费财政拨款预算安排情况说明</w:t>
      </w:r>
      <w:bookmarkEnd w:id="39"/>
      <w:bookmarkEnd w:id="40"/>
      <w:bookmarkEnd w:id="4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2024年“三公”经费财政拨款预算数0.3万元，其中：公务接待费0.3万元，公务用车购置及运行维护费0万元，因公出国（境）经费0万元。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42" w:name="_Toc683266318"/>
      <w:bookmarkStart w:id="43" w:name="_Toc1960842104"/>
      <w:bookmarkStart w:id="44" w:name="_Toc1823235462"/>
      <w:r>
        <w:rPr>
          <w:rFonts w:hint="eastAsia" w:ascii="楷体_GB2312" w:hAnsi="楷体_GB2312" w:eastAsia="楷体_GB2312" w:cs="楷体_GB2312"/>
          <w:color w:val="auto"/>
          <w:sz w:val="32"/>
          <w:szCs w:val="32"/>
          <w:lang w:val="en-US" w:eastAsia="zh-CN"/>
        </w:rPr>
        <w:t>（一）公务接待费</w:t>
      </w:r>
      <w:bookmarkEnd w:id="42"/>
      <w:bookmarkEnd w:id="43"/>
      <w:bookmarkEnd w:id="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45" w:name="_Toc223162958"/>
      <w:bookmarkStart w:id="46" w:name="_Toc23322305"/>
      <w:bookmarkStart w:id="47" w:name="_Toc1609985061"/>
      <w:r>
        <w:rPr>
          <w:rFonts w:hint="eastAsia" w:ascii="楷体_GB2312" w:hAnsi="楷体_GB2312" w:eastAsia="楷体_GB2312" w:cs="楷体_GB2312"/>
          <w:color w:val="auto"/>
          <w:sz w:val="32"/>
          <w:szCs w:val="32"/>
          <w:lang w:val="en-US" w:eastAsia="zh-CN"/>
        </w:rPr>
        <w:t>公务用车购置及运行维护费</w:t>
      </w:r>
      <w:bookmarkEnd w:id="45"/>
      <w:bookmarkEnd w:id="46"/>
      <w:bookmarkEnd w:id="4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bookmarkStart w:id="48" w:name="_Toc2130483629"/>
      <w:bookmarkStart w:id="49" w:name="_Toc1187232207"/>
      <w:bookmarkStart w:id="50" w:name="_Toc337931530"/>
      <w:r>
        <w:rPr>
          <w:rFonts w:hint="eastAsia" w:ascii="仿宋_GB2312" w:hAnsi="仿宋_GB2312" w:eastAsia="仿宋_GB2312" w:cs="仿宋_GB2312"/>
          <w:color w:val="auto"/>
          <w:sz w:val="32"/>
          <w:szCs w:val="32"/>
          <w:lang w:val="en-US" w:eastAsia="zh-CN"/>
        </w:rPr>
        <w:t>（</w:t>
      </w:r>
      <w:r>
        <w:rPr>
          <w:rFonts w:hint="eastAsia" w:ascii="楷体_GB2312" w:hAnsi="楷体_GB2312" w:eastAsia="楷体_GB2312" w:cs="楷体_GB2312"/>
          <w:color w:val="auto"/>
          <w:sz w:val="32"/>
          <w:szCs w:val="32"/>
          <w:lang w:val="en-US" w:eastAsia="zh-CN"/>
        </w:rPr>
        <w:t>三）因公出国（境）经费</w:t>
      </w:r>
      <w:bookmarkEnd w:id="48"/>
      <w:bookmarkEnd w:id="49"/>
      <w:bookmarkEnd w:id="5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因公出国（境）经费与2023年预算持平，2024年无因公出国计划。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51" w:name="_Toc764730009"/>
      <w:bookmarkStart w:id="52" w:name="_Toc1776401623"/>
      <w:bookmarkStart w:id="53" w:name="_Toc647513125"/>
      <w:r>
        <w:rPr>
          <w:rFonts w:hint="eastAsia" w:ascii="黑体" w:hAnsi="黑体" w:eastAsia="黑体" w:cs="黑体"/>
          <w:color w:val="auto"/>
          <w:sz w:val="32"/>
          <w:szCs w:val="32"/>
          <w:lang w:val="en-US" w:eastAsia="zh-CN"/>
        </w:rPr>
        <w:t>八、政府性基金预算支出情况说明</w:t>
      </w:r>
      <w:bookmarkEnd w:id="51"/>
      <w:bookmarkEnd w:id="52"/>
      <w:bookmarkEnd w:id="5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54" w:name="_Toc454049360"/>
      <w:bookmarkStart w:id="55" w:name="_Toc2067108462"/>
      <w:bookmarkStart w:id="56" w:name="_Toc245667962"/>
      <w:r>
        <w:rPr>
          <w:rFonts w:hint="eastAsia" w:ascii="黑体" w:hAnsi="黑体" w:eastAsia="黑体" w:cs="黑体"/>
          <w:color w:val="auto"/>
          <w:sz w:val="32"/>
          <w:szCs w:val="32"/>
          <w:lang w:val="en-US" w:eastAsia="zh-CN"/>
        </w:rPr>
        <w:t>九、国有资本经营预算支出情况说明</w:t>
      </w:r>
      <w:bookmarkEnd w:id="54"/>
      <w:bookmarkEnd w:id="55"/>
      <w:bookmarkEnd w:id="5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57" w:name="_Toc885826456"/>
      <w:bookmarkStart w:id="58" w:name="_Toc881786520"/>
      <w:bookmarkStart w:id="59" w:name="_Toc2134954803"/>
      <w:r>
        <w:rPr>
          <w:rFonts w:hint="eastAsia" w:ascii="黑体" w:hAnsi="黑体" w:eastAsia="黑体" w:cs="黑体"/>
          <w:color w:val="auto"/>
          <w:sz w:val="32"/>
          <w:szCs w:val="32"/>
          <w:lang w:val="en-US" w:eastAsia="zh-CN"/>
        </w:rPr>
        <w:t>十、其他重要事项的情况说明</w:t>
      </w:r>
      <w:bookmarkEnd w:id="57"/>
      <w:bookmarkEnd w:id="58"/>
      <w:bookmarkEnd w:id="5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0" w:name="_Toc316525608"/>
      <w:r>
        <w:rPr>
          <w:rFonts w:hint="eastAsia" w:ascii="楷体_GB2312" w:hAnsi="楷体_GB2312" w:eastAsia="楷体_GB2312" w:cs="楷体_GB2312"/>
          <w:color w:val="auto"/>
          <w:sz w:val="32"/>
          <w:szCs w:val="32"/>
          <w:lang w:val="en-US" w:eastAsia="zh-CN"/>
        </w:rPr>
        <w:t>（一）机关运行经费</w:t>
      </w:r>
      <w:bookmarkEnd w:id="6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r>
        <w:rPr>
          <w:rFonts w:hint="eastAsia" w:ascii="仿宋_GB2312" w:hAnsi="仿宋_GB2312" w:eastAsia="仿宋_GB2312" w:cs="仿宋_GB2312"/>
          <w:color w:val="auto"/>
          <w:kern w:val="0"/>
          <w:sz w:val="32"/>
          <w:szCs w:val="32"/>
          <w:lang w:val="en-US" w:eastAsia="zh-CN"/>
        </w:rPr>
        <w:t>广元市住房保障和房地产事务中心为事业单位，按规定未使用机关运行的相关科目</w:t>
      </w:r>
      <w:r>
        <w:rPr>
          <w:rFonts w:hint="eastAsia" w:ascii="楷体_GB2312" w:hAnsi="楷体_GB2312" w:eastAsia="楷体_GB2312" w:cs="楷体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1" w:name="_Toc227461779"/>
      <w:r>
        <w:rPr>
          <w:rFonts w:hint="eastAsia" w:ascii="楷体_GB2312" w:hAnsi="楷体_GB2312" w:eastAsia="楷体_GB2312" w:cs="楷体_GB2312"/>
          <w:color w:val="auto"/>
          <w:sz w:val="32"/>
          <w:szCs w:val="32"/>
          <w:lang w:val="en-US" w:eastAsia="zh-CN"/>
        </w:rPr>
        <w:t>（二）政府采购情况</w:t>
      </w:r>
      <w:bookmarkEnd w:id="6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sz w:val="32"/>
          <w:szCs w:val="32"/>
          <w:lang w:val="en-US" w:eastAsia="zh-CN"/>
        </w:rPr>
        <w:t>安排政府采购预算2.15万元，其中：政府采购货物预算2.15万元。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2" w:name="_Toc1354407090"/>
      <w:r>
        <w:rPr>
          <w:rFonts w:hint="eastAsia" w:ascii="楷体_GB2312" w:hAnsi="楷体_GB2312" w:eastAsia="楷体_GB2312" w:cs="楷体_GB2312"/>
          <w:color w:val="auto"/>
          <w:sz w:val="32"/>
          <w:szCs w:val="32"/>
          <w:lang w:val="en-US" w:eastAsia="zh-CN"/>
        </w:rPr>
        <w:t>（三）国有资产占有使用情况</w:t>
      </w:r>
      <w:bookmarkEnd w:id="6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sz w:val="32"/>
          <w:szCs w:val="32"/>
          <w:lang w:val="en-US" w:eastAsia="zh-CN"/>
        </w:rPr>
        <w:t>共有车辆1辆，其中，</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业务用车1辆</w:t>
      </w:r>
      <w:r>
        <w:rPr>
          <w:rFonts w:hint="eastAsia" w:ascii="仿宋_GB2312" w:hAnsi="仿宋_GB2312" w:eastAsia="仿宋_GB2312" w:cs="仿宋_GB2312"/>
          <w:sz w:val="32"/>
          <w:szCs w:val="32"/>
          <w:lang w:val="en-US" w:eastAsia="zh-CN"/>
        </w:rPr>
        <w:t>。单位价值200万元以上大型设备0台（套）。</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Calibri" w:eastAsia="仿宋_GB2312" w:cs="仿宋_GB2312"/>
          <w:color w:val="auto"/>
          <w:kern w:val="2"/>
          <w:sz w:val="32"/>
          <w:szCs w:val="32"/>
          <w:lang w:val="en-US" w:eastAsia="zh-CN" w:bidi="ar"/>
        </w:rPr>
        <w:t>2024年预算未安排购置车辆及单位价值200万元以上大型设备</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3" w:name="_Toc1645780630"/>
      <w:r>
        <w:rPr>
          <w:rFonts w:hint="eastAsia" w:ascii="楷体_GB2312" w:hAnsi="楷体_GB2312" w:eastAsia="楷体_GB2312" w:cs="楷体_GB2312"/>
          <w:color w:val="auto"/>
          <w:sz w:val="32"/>
          <w:szCs w:val="32"/>
          <w:lang w:val="en-US" w:eastAsia="zh-CN"/>
        </w:rPr>
        <w:t>（四）绩效目标设置情况</w:t>
      </w:r>
      <w:bookmarkEnd w:id="6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sz w:val="32"/>
          <w:szCs w:val="32"/>
          <w:lang w:val="en-US" w:eastAsia="zh-CN"/>
        </w:rPr>
        <w:t>开展绩效目标管理的项目16个，涉及预算704.96万元。其中：人员类项目5个，涉及预算605.85万元；运转类项目3个，涉及预算60.</w:t>
      </w:r>
      <w:r>
        <w:rPr>
          <w:rFonts w:hint="default" w:ascii="仿宋_GB2312" w:hAnsi="仿宋_GB2312" w:eastAsia="仿宋_GB2312" w:cs="仿宋_GB2312"/>
          <w:color w:val="auto"/>
          <w:sz w:val="32"/>
          <w:szCs w:val="32"/>
          <w:lang w:eastAsia="zh-CN"/>
        </w:rPr>
        <w:t>29</w:t>
      </w:r>
      <w:r>
        <w:rPr>
          <w:rFonts w:hint="eastAsia" w:ascii="仿宋_GB2312" w:hAnsi="仿宋_GB2312" w:eastAsia="仿宋_GB2312" w:cs="仿宋_GB2312"/>
          <w:color w:val="auto"/>
          <w:sz w:val="32"/>
          <w:szCs w:val="32"/>
          <w:lang w:val="en-US" w:eastAsia="zh-CN"/>
        </w:rPr>
        <w:t>万元；特定目标类项目8个，涉及预算38.82万元。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4" w:name="_Toc1698144205"/>
      <w:bookmarkStart w:id="65" w:name="_Toc2066605416"/>
      <w:bookmarkStart w:id="66" w:name="_Toc1866468232"/>
      <w:r>
        <w:rPr>
          <w:rFonts w:hint="eastAsia" w:ascii="黑体" w:hAnsi="黑体" w:eastAsia="黑体" w:cs="黑体"/>
          <w:sz w:val="32"/>
          <w:szCs w:val="32"/>
          <w:lang w:val="en-US" w:eastAsia="zh-CN"/>
        </w:rPr>
        <w:t>十一、名词解释</w:t>
      </w:r>
      <w:bookmarkEnd w:id="64"/>
      <w:bookmarkEnd w:id="65"/>
      <w:bookmarkEnd w:id="6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（三）卫生健康（类）行政事业单位医疗（款）事业单位医疗（项）：</w:t>
      </w:r>
      <w:r>
        <w:rPr>
          <w:rFonts w:hint="eastAsia" w:ascii="仿宋_GB2312" w:hAnsi="仿宋_GB2312" w:eastAsia="仿宋_GB2312" w:cs="仿宋_GB2312"/>
          <w:color w:val="auto"/>
          <w:sz w:val="32"/>
          <w:szCs w:val="32"/>
          <w:lang w:val="en-US" w:eastAsia="zh-CN"/>
        </w:rPr>
        <w:t>指事业单位用于单位应缴纳基本医疗保险支出。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w:t>
      </w:r>
      <w:r>
        <w:rPr>
          <w:rFonts w:hint="eastAsia" w:ascii="楷体_GB2312" w:hAnsi="楷体_GB2312" w:eastAsia="楷体_GB2312" w:cs="楷体_GB2312"/>
          <w:color w:val="auto"/>
          <w:sz w:val="32"/>
          <w:szCs w:val="32"/>
          <w:lang w:val="en-US" w:eastAsia="zh-CN"/>
        </w:rPr>
        <w:t>（四）</w:t>
      </w:r>
      <w:r>
        <w:rPr>
          <w:rFonts w:hint="eastAsia" w:ascii="楷体_GB2312" w:hAnsi="楷体_GB2312" w:eastAsia="楷体_GB2312" w:cs="楷体_GB2312"/>
          <w:color w:val="auto"/>
          <w:kern w:val="0"/>
          <w:sz w:val="32"/>
          <w:szCs w:val="32"/>
          <w:shd w:val="clear" w:color="auto" w:fill="FFFFFF"/>
          <w:lang w:bidi="ar"/>
        </w:rPr>
        <w:t>城乡社区支出</w:t>
      </w:r>
      <w:r>
        <w:rPr>
          <w:rFonts w:hint="eastAsia" w:ascii="楷体_GB2312" w:hAnsi="楷体_GB2312" w:eastAsia="楷体_GB2312" w:cs="楷体_GB2312"/>
          <w:color w:val="auto"/>
          <w:sz w:val="32"/>
          <w:szCs w:val="32"/>
          <w:lang w:val="en-US" w:eastAsia="zh-CN"/>
        </w:rPr>
        <w:t>（类）</w:t>
      </w:r>
      <w:r>
        <w:rPr>
          <w:rFonts w:hint="eastAsia" w:ascii="楷体_GB2312" w:hAnsi="楷体_GB2312" w:eastAsia="楷体_GB2312" w:cs="楷体_GB2312"/>
          <w:color w:val="auto"/>
          <w:kern w:val="0"/>
          <w:sz w:val="32"/>
          <w:szCs w:val="32"/>
          <w:shd w:val="clear" w:color="auto" w:fill="FFFFFF"/>
          <w:lang w:bidi="ar"/>
        </w:rPr>
        <w:t>城乡社区管理事务</w:t>
      </w:r>
      <w:r>
        <w:rPr>
          <w:rFonts w:hint="eastAsia" w:ascii="楷体_GB2312" w:hAnsi="楷体_GB2312" w:eastAsia="楷体_GB2312" w:cs="楷体_GB2312"/>
          <w:color w:val="auto"/>
          <w:sz w:val="32"/>
          <w:szCs w:val="32"/>
          <w:lang w:val="en-US" w:eastAsia="zh-CN"/>
        </w:rPr>
        <w:t>（款）工程建设标准规范编制与监管（项）：</w:t>
      </w:r>
      <w:r>
        <w:rPr>
          <w:rFonts w:hint="eastAsia" w:ascii="仿宋_GB2312" w:hAnsi="仿宋_GB2312" w:eastAsia="仿宋_GB2312" w:cs="仿宋_GB2312"/>
          <w:color w:val="auto"/>
          <w:sz w:val="32"/>
          <w:szCs w:val="32"/>
          <w:lang w:val="en-US" w:eastAsia="zh-CN"/>
        </w:rPr>
        <w:t>工程建设国家标准和部管行业标准、监督指导各类工程建设标准定额的实施、管理工程造价等方面的支出。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lang w:val="en-US" w:eastAsia="zh-CN"/>
        </w:rPr>
        <w:t>（五）</w:t>
      </w:r>
      <w:r>
        <w:rPr>
          <w:rFonts w:hint="eastAsia" w:ascii="楷体_GB2312" w:hAnsi="楷体_GB2312" w:eastAsia="楷体_GB2312" w:cs="楷体_GB2312"/>
          <w:color w:val="auto"/>
          <w:kern w:val="0"/>
          <w:sz w:val="32"/>
          <w:szCs w:val="32"/>
          <w:shd w:val="clear" w:color="auto" w:fill="FFFFFF"/>
          <w:lang w:bidi="ar"/>
        </w:rPr>
        <w:t>城乡社区支出</w:t>
      </w:r>
      <w:r>
        <w:rPr>
          <w:rFonts w:hint="eastAsia" w:ascii="楷体_GB2312" w:hAnsi="楷体_GB2312" w:eastAsia="楷体_GB2312" w:cs="楷体_GB2312"/>
          <w:color w:val="auto"/>
          <w:sz w:val="32"/>
          <w:szCs w:val="32"/>
          <w:lang w:val="en-US" w:eastAsia="zh-CN"/>
        </w:rPr>
        <w:t>（类）</w:t>
      </w:r>
      <w:r>
        <w:rPr>
          <w:rFonts w:hint="eastAsia" w:ascii="楷体_GB2312" w:hAnsi="楷体_GB2312" w:eastAsia="楷体_GB2312" w:cs="楷体_GB2312"/>
          <w:color w:val="auto"/>
          <w:kern w:val="0"/>
          <w:sz w:val="32"/>
          <w:szCs w:val="32"/>
          <w:shd w:val="clear" w:color="auto" w:fill="FFFFFF"/>
          <w:lang w:bidi="ar"/>
        </w:rPr>
        <w:t>城乡社区管理事务</w:t>
      </w:r>
      <w:r>
        <w:rPr>
          <w:rFonts w:hint="eastAsia" w:ascii="楷体_GB2312" w:hAnsi="楷体_GB2312" w:eastAsia="楷体_GB2312" w:cs="楷体_GB2312"/>
          <w:color w:val="auto"/>
          <w:sz w:val="32"/>
          <w:szCs w:val="32"/>
          <w:lang w:val="en-US" w:eastAsia="zh-CN"/>
        </w:rPr>
        <w:t>（款）住宅建设与房地产市场监管（项）：</w:t>
      </w:r>
      <w:r>
        <w:rPr>
          <w:rFonts w:hint="eastAsia" w:ascii="仿宋_GB2312" w:hAnsi="仿宋_GB2312" w:eastAsia="仿宋_GB2312" w:cs="仿宋_GB2312"/>
          <w:i w:val="0"/>
          <w:caps w:val="0"/>
          <w:color w:val="auto"/>
          <w:spacing w:val="0"/>
          <w:kern w:val="0"/>
          <w:sz w:val="32"/>
          <w:szCs w:val="32"/>
          <w:shd w:val="clear" w:fill="FFFFFF"/>
          <w:lang w:val="en-US" w:eastAsia="zh-CN" w:bidi="ar"/>
        </w:rPr>
        <w:t>调控房地产市场运行、研究拟定城镇住房制度改革法规、对住房公积金和其他房改资金进行政策指导并监督使用等方面的支出。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67" w:name="_GoBack"/>
      <w:bookmarkEnd w:id="67"/>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color w:val="auto"/>
          <w:kern w:val="0"/>
          <w:sz w:val="32"/>
          <w:szCs w:val="32"/>
          <w:lang w:eastAsia="zh-CN"/>
        </w:rPr>
        <w:t>广元市住房保障和房地产事务中心</w:t>
      </w:r>
      <w:r>
        <w:rPr>
          <w:rFonts w:hint="eastAsia" w:ascii="仿宋_GB2312" w:hAnsi="仿宋_GB2312" w:eastAsia="仿宋_GB2312" w:cs="仿宋_GB2312"/>
          <w:color w:val="auto"/>
          <w:kern w:val="0"/>
          <w:sz w:val="32"/>
          <w:szCs w:val="32"/>
          <w:lang w:val="en-US" w:eastAsia="zh-CN"/>
        </w:rPr>
        <w:t>2024年单位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FZXBSK--GBK1-0">
    <w:altName w:val="仿宋_GB2312"/>
    <w:panose1 w:val="00000000000000000000"/>
    <w:charset w:val="00"/>
    <w:family w:val="auto"/>
    <w:pitch w:val="default"/>
    <w:sig w:usb0="00000000" w:usb1="00000000" w:usb2="0000001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posOffset>2661920</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9.6pt;margin-top:0pt;height:144pt;width:144pt;mso-position-horizontal-relative:margin;mso-wrap-style:none;z-index:251660288;mso-width-relative:page;mso-height-relative:page;" filled="f" stroked="f" coordsize="21600,21600" o:gfxdata="UEsFBgAAAAAAAAAAAAAAAAAAAAAAAFBLAwQKAAAAAACHTuJAAAAAAAAAAAAAAAAABAAAAGRycy9Q&#10;SwMEFAAAAAgAh07iQMj+9xvVAAAACAEAAA8AAABkcnMvZG93bnJldi54bWxNj81OwzAQhO9IvIO1&#10;SNyonVDRkMapREU4ItFw4OjG2yTgn8h20/D2LCc4jmY08021W6xhM4Y4eichWwlg6DqvR9dLeG+b&#10;uwJYTMppZbxDCd8YYVdfX1Wq1P7i3nA+pJ5RiYulkjCkNJWcx25Aq+LKT+jIO/lgVSIZeq6DulC5&#10;NTwX4oFbNTpaGNSE+wG7r8PZStg3bRtmjMF84Etz//n6tMbnRcrbm0xsgSVc0l8YfvEJHWpiOvqz&#10;05EZCevsMaeoBHpE9kZsSB4l5EUhgNcV/3+g/gFQSwMEFAAAAAgAh07iQLqMOCsyAgAAYQQAAA4A&#10;AABkcnMvZTJvRG9jLnhtbK1UzY7TMBC+I/EOlu80aVlWVdV0VbYqQqrYlRbE2XWcJpL/ZLtNygPA&#10;G3Diwp3n6nPw2Wm6aOGwBy7O2DP+xt83M5nfdEqSg3C+Mbqg41FOidDclI3eFfTTx/WrKSU+MF0y&#10;abQo6FF4erN4+WLe2pmYmNrIUjgCEO1nrS1oHYKdZZnntVDMj4wVGs7KOMUCtm6XlY61QFcym+T5&#10;ddYaV1pnuPAep6veSc+I7jmApqoaLlaG75XQoUd1QrIASr5urKeL9NqqEjzcVZUXgciCgmlIK5LA&#10;3sY1W8zZbOeYrRt+fgJ7zhOecFKs0Uh6gVqxwMjeNX9BqYY7400VRtyorCeSFAGLcf5Em4eaWZG4&#10;QGpvL6L7/wfLPxzuHWnKgl5RoplCwU/fv51+/Dr9/Equojyt9TNEPVjEhe6t6dA0w7nHYWTdVU7F&#10;L/gQ+CHu8SKu6ALh8dJ0Mp3mcHH4hg3ws8fr1vnwThhFolFQh+olUdlh40MfOoTEbNqsGylTBaUm&#10;bUGvX7/J04WLB+BSI0ck0T82WqHbdmdmW1MeQcyZvjO85esGyTfMh3vm0Ap4MIYl3GGppEESc7Yo&#10;qY378q/zGI8KwUtJi9YqqMYkUSLfa1QOgGEw3GBsB0Pv1a1Br44xhJYnExdckINZOaM+Y4KWMQdc&#10;THNkKmgYzNvQtzcmkIvlMgXtrWt2dX8BfWdZ2OgHy2OaKKS3y32AmEnjKFCvylk3dF6q0nlKYmv/&#10;uU9Rj3+G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DI/vcb1QAAAAgBAAAPAAAAAAAAAAEAIAAA&#10;ADgAAABkcnMvZG93bnJldi54bWxQSwECFAAUAAAACACHTuJAuow4KzICAABhBAAADgAAAAAAAAAB&#10;ACAAAAA6AQAAZHJzL2Uyb0RvYy54bWxQSwUGAAAAAAYABgBZAQAA3gUAAAAA&#10;">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DsEs1veAQAAvgMAAA4AAABkcnMv&#10;ZTJvRG9jLnhtbK1TzY7TMBC+I/EOlu802UqL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OwSzW94BAAC+AwAADgAAAAAAAAABACAAAAA0AQAAZHJzL2Uyb0RvYy54bWxQSwUGAAAAAAYA&#10;BgBZAQAAhA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05FBE064"/>
    <w:rsid w:val="1F7BF06F"/>
    <w:rsid w:val="1FEE4B73"/>
    <w:rsid w:val="23CE9849"/>
    <w:rsid w:val="2EF5C438"/>
    <w:rsid w:val="39F304DD"/>
    <w:rsid w:val="3D9FF925"/>
    <w:rsid w:val="3FFEE882"/>
    <w:rsid w:val="54244390"/>
    <w:rsid w:val="54662A63"/>
    <w:rsid w:val="58064E12"/>
    <w:rsid w:val="5BFEE015"/>
    <w:rsid w:val="63EDCF55"/>
    <w:rsid w:val="63FBFBCF"/>
    <w:rsid w:val="669360FD"/>
    <w:rsid w:val="67DF8E7C"/>
    <w:rsid w:val="67FBBD0B"/>
    <w:rsid w:val="68FF6A83"/>
    <w:rsid w:val="6F2F5FD4"/>
    <w:rsid w:val="6F7F3B33"/>
    <w:rsid w:val="6FBBC9CF"/>
    <w:rsid w:val="72BDE561"/>
    <w:rsid w:val="78462278"/>
    <w:rsid w:val="7997EA6C"/>
    <w:rsid w:val="7AEAE675"/>
    <w:rsid w:val="7BAFCE5D"/>
    <w:rsid w:val="7BD31AFA"/>
    <w:rsid w:val="7CBFB2DD"/>
    <w:rsid w:val="7D46598C"/>
    <w:rsid w:val="7DFB240B"/>
    <w:rsid w:val="7E0935ED"/>
    <w:rsid w:val="7FCF2AF7"/>
    <w:rsid w:val="7FEBF9A5"/>
    <w:rsid w:val="9FEF033D"/>
    <w:rsid w:val="A27FF1E5"/>
    <w:rsid w:val="AFDEB5A7"/>
    <w:rsid w:val="AFEA7FBF"/>
    <w:rsid w:val="B83F4767"/>
    <w:rsid w:val="BF930F07"/>
    <w:rsid w:val="BFCE8436"/>
    <w:rsid w:val="C3F7EB7A"/>
    <w:rsid w:val="CFF5FEEC"/>
    <w:rsid w:val="D3DD9064"/>
    <w:rsid w:val="D6F76A0C"/>
    <w:rsid w:val="D7ECE8D2"/>
    <w:rsid w:val="DF7F7016"/>
    <w:rsid w:val="DFDD4FB5"/>
    <w:rsid w:val="E6EE3EA4"/>
    <w:rsid w:val="E7F748B5"/>
    <w:rsid w:val="EE5F3713"/>
    <w:rsid w:val="EED7CA0B"/>
    <w:rsid w:val="EFC9D62C"/>
    <w:rsid w:val="EFFF1EAB"/>
    <w:rsid w:val="F6BE9755"/>
    <w:rsid w:val="F6FFA89B"/>
    <w:rsid w:val="F77E5508"/>
    <w:rsid w:val="FAE4EFE1"/>
    <w:rsid w:val="FB9B6F12"/>
    <w:rsid w:val="FBB66A4A"/>
    <w:rsid w:val="FBF73B81"/>
    <w:rsid w:val="FDEBF606"/>
    <w:rsid w:val="FDEE6989"/>
    <w:rsid w:val="FF5E7DB8"/>
    <w:rsid w:val="FF77BC8B"/>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2"/>
    <w:qFormat/>
    <w:uiPriority w:val="0"/>
  </w:style>
  <w:style w:type="paragraph" w:styleId="8">
    <w:name w:val="table of figures"/>
    <w:basedOn w:val="1"/>
    <w:next w:val="1"/>
    <w:qFormat/>
    <w:uiPriority w:val="99"/>
    <w:pPr>
      <w:ind w:left="200" w:leftChars="200" w:hanging="200" w:hangingChars="200"/>
    </w:pPr>
    <w:rPr>
      <w:rFonts w:ascii="Times New Roman" w:hAnsi="Times New Roman" w:cs="宋体"/>
    </w:rPr>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7</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2018-12-02T01:47:00Z</dcterms:created>
  <dc:creator>admin</dc:creator>
  <cp:lastModifiedBy> </cp:lastModifiedBy>
  <dcterms:modified xsi:type="dcterms:W3CDTF">2024-02-28T10:34:24Z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