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outlineLvl w:val="0"/>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bookmarkStart w:id="0" w:name="_Toc18195"/>
    </w:p>
    <w:p>
      <w:pPr>
        <w:pStyle w:val="2"/>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p>
    <w:p>
      <w:pPr>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p>
    <w:p>
      <w:pPr>
        <w:pStyle w:val="2"/>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pPr>
    </w:p>
    <w:p>
      <w:pPr>
        <w:rPr>
          <w:rFonts w:hint="eastAsia"/>
          <w:lang w:val="en-US" w:eastAsia="zh-CN"/>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76" w:lineRule="exact"/>
        <w:ind w:left="0" w:right="0" w:firstLine="0"/>
        <w:jc w:val="center"/>
        <w:textAlignment w:val="auto"/>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333333"/>
          <w:spacing w:val="0"/>
          <w:kern w:val="0"/>
          <w:sz w:val="44"/>
          <w:szCs w:val="44"/>
          <w:shd w:val="clear" w:color="auto" w:fill="FFFFFF"/>
          <w:lang w:val="en-US" w:eastAsia="zh-CN" w:bidi="ar"/>
        </w:rPr>
        <w:t>广元市文化市场综合行政执法支队</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p>
    <w:p>
      <w:pPr>
        <w:jc w:val="center"/>
        <w:rPr>
          <w:rFonts w:hint="eastAsia" w:ascii="黑体" w:hAnsi="黑体" w:eastAsia="黑体" w:cs="黑体"/>
          <w:b/>
          <w:bCs/>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pPr>
      <w:r>
        <w:rPr>
          <w:rFonts w:hint="eastAsia" w:ascii="黑体" w:hAnsi="黑体" w:eastAsia="黑体" w:cs="黑体"/>
          <w:b w:val="0"/>
          <w:bCs w:val="0"/>
          <w:i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目   录</w:t>
      </w:r>
    </w:p>
    <w:sdt>
      <w:sdtPr>
        <w:rPr>
          <w:rFonts w:ascii="宋体" w:hAnsi="宋体" w:eastAsia="宋体" w:cs="Times New Roman"/>
          <w:color w:val="auto"/>
          <w:kern w:val="2"/>
          <w:sz w:val="21"/>
          <w:szCs w:val="24"/>
          <w:lang w:val="en-US" w:eastAsia="zh-CN" w:bidi="ar-SA"/>
        </w:rPr>
        <w:id w:val="147479817"/>
        <w15:color w:val="DBDBDB"/>
        <w:docPartObj>
          <w:docPartGallery w:val="Table of Contents"/>
          <w:docPartUnique/>
        </w:docPartObj>
      </w:sdtPr>
      <w:sdtEndPr>
        <w:rPr>
          <w:rFonts w:hint="eastAsia" w:ascii="黑体" w:hAnsi="黑体" w:eastAsia="黑体" w:cs="黑体"/>
          <w:b/>
          <w:color w:val="auto"/>
          <w:kern w:val="2"/>
          <w:sz w:val="21"/>
          <w:szCs w:val="32"/>
          <w:lang w:val="en-US" w:eastAsia="zh-CN" w:bidi="ar-SA"/>
        </w:rPr>
      </w:sdtEndPr>
      <w:sdtContent>
        <w:p>
          <w:pPr>
            <w:spacing w:before="0" w:beforeLines="0" w:after="0" w:afterLines="0" w:line="240" w:lineRule="auto"/>
            <w:ind w:left="0" w:leftChars="0" w:right="0" w:rightChars="0" w:firstLine="0" w:firstLineChars="0"/>
            <w:jc w:val="center"/>
            <w:rPr>
              <w:b/>
            </w:rPr>
          </w:pPr>
          <w:bookmarkStart w:id="26" w:name="_GoBack"/>
          <w:r>
            <w:rPr>
              <w:rFonts w:hint="eastAsia" w:ascii="黑体" w:hAnsi="黑体" w:eastAsia="黑体" w:cs="黑体"/>
              <w:sz w:val="32"/>
              <w:szCs w:val="32"/>
              <w:lang w:val="en-US" w:eastAsia="zh-CN"/>
            </w:rPr>
            <w:fldChar w:fldCharType="begin"/>
          </w:r>
          <w:r>
            <w:rPr>
              <w:rFonts w:hint="eastAsia" w:ascii="黑体" w:hAnsi="黑体" w:eastAsia="黑体" w:cs="黑体"/>
              <w:sz w:val="32"/>
              <w:szCs w:val="32"/>
              <w:lang w:val="en-US" w:eastAsia="zh-CN"/>
            </w:rPr>
            <w:instrText xml:space="preserve">TOC \o "1-2" \h \u </w:instrText>
          </w:r>
          <w:r>
            <w:rPr>
              <w:rFonts w:hint="eastAsia" w:ascii="黑体" w:hAnsi="黑体" w:eastAsia="黑体" w:cs="黑体"/>
              <w:sz w:val="32"/>
              <w:szCs w:val="32"/>
              <w:lang w:val="en-US" w:eastAsia="zh-CN"/>
            </w:rPr>
            <w:fldChar w:fldCharType="separate"/>
          </w:r>
        </w:p>
        <w:p>
          <w:pPr>
            <w:pStyle w:val="17"/>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fldChar w:fldCharType="begin"/>
          </w:r>
          <w:r>
            <w:rPr>
              <w:rFonts w:hint="eastAsia" w:ascii="宋体" w:hAnsi="宋体" w:eastAsia="宋体" w:cs="宋体"/>
              <w:b/>
              <w:sz w:val="30"/>
              <w:szCs w:val="30"/>
              <w:lang w:val="en-US" w:eastAsia="zh-CN"/>
            </w:rPr>
            <w:instrText xml:space="preserve"> HYPERLINK \l _Toc7529 </w:instrText>
          </w:r>
          <w:r>
            <w:rPr>
              <w:rFonts w:hint="eastAsia" w:ascii="宋体" w:hAnsi="宋体" w:eastAsia="宋体" w:cs="宋体"/>
              <w:b/>
              <w:sz w:val="30"/>
              <w:szCs w:val="30"/>
              <w:lang w:val="en-US" w:eastAsia="zh-CN"/>
            </w:rPr>
            <w:fldChar w:fldCharType="separate"/>
          </w:r>
          <w:r>
            <w:rPr>
              <w:rFonts w:hint="eastAsia" w:ascii="宋体" w:hAnsi="宋体" w:eastAsia="宋体" w:cs="宋体"/>
              <w:b/>
              <w:bCs/>
              <w:sz w:val="30"/>
              <w:szCs w:val="30"/>
              <w:lang w:val="en-US" w:eastAsia="zh-CN"/>
            </w:rPr>
            <w:t>一、基本职能及主要工作</w:t>
          </w:r>
          <w:r>
            <w:rPr>
              <w:rFonts w:hint="eastAsia" w:ascii="宋体" w:hAnsi="宋体" w:eastAsia="宋体" w:cs="宋体"/>
              <w:b/>
              <w:sz w:val="30"/>
              <w:szCs w:val="30"/>
            </w:rPr>
            <w:tab/>
          </w:r>
          <w:r>
            <w:rPr>
              <w:rFonts w:hint="eastAsia" w:ascii="宋体" w:hAnsi="宋体" w:eastAsia="宋体" w:cs="宋体"/>
              <w:b/>
              <w:sz w:val="30"/>
              <w:szCs w:val="30"/>
            </w:rPr>
            <w:fldChar w:fldCharType="begin"/>
          </w:r>
          <w:r>
            <w:rPr>
              <w:rFonts w:hint="eastAsia" w:ascii="宋体" w:hAnsi="宋体" w:eastAsia="宋体" w:cs="宋体"/>
              <w:b/>
              <w:sz w:val="30"/>
              <w:szCs w:val="30"/>
            </w:rPr>
            <w:instrText xml:space="preserve"> PAGEREF _Toc7529 \h </w:instrText>
          </w:r>
          <w:r>
            <w:rPr>
              <w:rFonts w:hint="eastAsia" w:ascii="宋体" w:hAnsi="宋体" w:eastAsia="宋体" w:cs="宋体"/>
              <w:b/>
              <w:sz w:val="30"/>
              <w:szCs w:val="30"/>
            </w:rPr>
            <w:fldChar w:fldCharType="separate"/>
          </w:r>
          <w:r>
            <w:rPr>
              <w:rFonts w:hint="eastAsia" w:ascii="宋体" w:hAnsi="宋体" w:eastAsia="宋体" w:cs="宋体"/>
              <w:b/>
              <w:sz w:val="30"/>
              <w:szCs w:val="30"/>
            </w:rPr>
            <w:t>1</w:t>
          </w:r>
          <w:r>
            <w:rPr>
              <w:rFonts w:hint="eastAsia" w:ascii="宋体" w:hAnsi="宋体" w:eastAsia="宋体" w:cs="宋体"/>
              <w:b/>
              <w:sz w:val="30"/>
              <w:szCs w:val="30"/>
            </w:rPr>
            <w:fldChar w:fldCharType="end"/>
          </w:r>
          <w:r>
            <w:rPr>
              <w:rFonts w:hint="eastAsia" w:ascii="宋体" w:hAnsi="宋体" w:eastAsia="宋体" w:cs="宋体"/>
              <w:b/>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_Toc4288 </w:instrText>
          </w:r>
          <w:r>
            <w:rPr>
              <w:rFonts w:hint="eastAsia" w:ascii="宋体" w:hAnsi="宋体" w:eastAsia="宋体" w:cs="宋体"/>
              <w:sz w:val="30"/>
              <w:szCs w:val="30"/>
              <w:lang w:val="en-US" w:eastAsia="zh-CN"/>
            </w:rPr>
            <w:fldChar w:fldCharType="separate"/>
          </w:r>
          <w:r>
            <w:rPr>
              <w:rFonts w:hint="eastAsia" w:ascii="宋体" w:hAnsi="宋体" w:eastAsia="宋体" w:cs="宋体"/>
              <w:bCs/>
              <w:sz w:val="30"/>
              <w:szCs w:val="30"/>
            </w:rPr>
            <w:t>（一）</w:t>
          </w:r>
          <w:r>
            <w:rPr>
              <w:rFonts w:hint="eastAsia" w:ascii="宋体" w:hAnsi="宋体" w:eastAsia="宋体" w:cs="宋体"/>
              <w:bCs/>
              <w:sz w:val="30"/>
              <w:szCs w:val="30"/>
              <w:lang w:val="en-US" w:eastAsia="zh-CN"/>
            </w:rPr>
            <w:t>广元市文化市场综合行政执法支队</w:t>
          </w:r>
          <w:r>
            <w:rPr>
              <w:rFonts w:hint="eastAsia" w:ascii="宋体" w:hAnsi="宋体" w:eastAsia="宋体" w:cs="宋体"/>
              <w:bCs/>
              <w:sz w:val="30"/>
              <w:szCs w:val="30"/>
            </w:rPr>
            <w:t>职能简介</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_Toc4288 \h </w:instrText>
          </w:r>
          <w:r>
            <w:rPr>
              <w:rFonts w:hint="eastAsia" w:ascii="宋体" w:hAnsi="宋体" w:eastAsia="宋体" w:cs="宋体"/>
              <w:sz w:val="30"/>
              <w:szCs w:val="30"/>
            </w:rPr>
            <w:fldChar w:fldCharType="separate"/>
          </w:r>
          <w:r>
            <w:rPr>
              <w:rFonts w:hint="eastAsia" w:ascii="宋体" w:hAnsi="宋体" w:eastAsia="宋体" w:cs="宋体"/>
              <w:sz w:val="30"/>
              <w:szCs w:val="30"/>
            </w:rPr>
            <w:t>1</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_Toc13921 </w:instrText>
          </w:r>
          <w:r>
            <w:rPr>
              <w:rFonts w:hint="eastAsia" w:ascii="宋体" w:hAnsi="宋体" w:eastAsia="宋体" w:cs="宋体"/>
              <w:sz w:val="30"/>
              <w:szCs w:val="30"/>
              <w:lang w:val="en-US" w:eastAsia="zh-CN"/>
            </w:rPr>
            <w:fldChar w:fldCharType="separate"/>
          </w:r>
          <w:r>
            <w:rPr>
              <w:rFonts w:hint="eastAsia" w:ascii="宋体" w:hAnsi="宋体" w:eastAsia="宋体" w:cs="宋体"/>
              <w:bCs/>
              <w:sz w:val="30"/>
              <w:szCs w:val="30"/>
            </w:rPr>
            <w:t>（二）</w:t>
          </w:r>
          <w:r>
            <w:rPr>
              <w:rFonts w:hint="eastAsia" w:ascii="宋体" w:hAnsi="宋体" w:eastAsia="宋体" w:cs="宋体"/>
              <w:bCs/>
              <w:sz w:val="30"/>
              <w:szCs w:val="30"/>
              <w:lang w:val="en-US" w:eastAsia="zh-CN"/>
            </w:rPr>
            <w:t>广元市文化市场综合行政执法支队</w:t>
          </w:r>
          <w:r>
            <w:rPr>
              <w:rFonts w:hint="eastAsia" w:ascii="宋体" w:hAnsi="宋体" w:eastAsia="宋体" w:cs="宋体"/>
              <w:bCs/>
              <w:sz w:val="30"/>
              <w:szCs w:val="30"/>
              <w:lang w:val="en-US"/>
            </w:rPr>
            <w:t>2024</w:t>
          </w:r>
          <w:r>
            <w:rPr>
              <w:rFonts w:hint="eastAsia" w:ascii="宋体" w:hAnsi="宋体" w:eastAsia="宋体" w:cs="宋体"/>
              <w:bCs/>
              <w:sz w:val="30"/>
              <w:szCs w:val="30"/>
            </w:rPr>
            <w:t>年重点工作</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_Toc13921 \h </w:instrText>
          </w:r>
          <w:r>
            <w:rPr>
              <w:rFonts w:hint="eastAsia" w:ascii="宋体" w:hAnsi="宋体" w:eastAsia="宋体" w:cs="宋体"/>
              <w:sz w:val="30"/>
              <w:szCs w:val="30"/>
            </w:rPr>
            <w:fldChar w:fldCharType="separate"/>
          </w:r>
          <w:r>
            <w:rPr>
              <w:rFonts w:hint="eastAsia" w:ascii="宋体" w:hAnsi="宋体" w:eastAsia="宋体" w:cs="宋体"/>
              <w:sz w:val="30"/>
              <w:szCs w:val="30"/>
            </w:rPr>
            <w:t>2</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7"/>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fldChar w:fldCharType="begin"/>
          </w:r>
          <w:r>
            <w:rPr>
              <w:rFonts w:hint="eastAsia" w:ascii="宋体" w:hAnsi="宋体" w:eastAsia="宋体" w:cs="宋体"/>
              <w:b/>
              <w:sz w:val="30"/>
              <w:szCs w:val="30"/>
              <w:lang w:val="en-US" w:eastAsia="zh-CN"/>
            </w:rPr>
            <w:instrText xml:space="preserve"> HYPERLINK \l _Toc24191 </w:instrText>
          </w:r>
          <w:r>
            <w:rPr>
              <w:rFonts w:hint="eastAsia" w:ascii="宋体" w:hAnsi="宋体" w:eastAsia="宋体" w:cs="宋体"/>
              <w:b/>
              <w:sz w:val="30"/>
              <w:szCs w:val="30"/>
              <w:lang w:val="en-US" w:eastAsia="zh-CN"/>
            </w:rPr>
            <w:fldChar w:fldCharType="separate"/>
          </w:r>
          <w:r>
            <w:rPr>
              <w:rFonts w:hint="eastAsia" w:ascii="宋体" w:hAnsi="宋体" w:eastAsia="宋体" w:cs="宋体"/>
              <w:b/>
              <w:bCs/>
              <w:sz w:val="30"/>
              <w:szCs w:val="30"/>
              <w:lang w:val="en-US" w:eastAsia="zh-CN"/>
            </w:rPr>
            <w:t>二、部门预算单位构成</w:t>
          </w:r>
          <w:r>
            <w:rPr>
              <w:rFonts w:hint="eastAsia" w:ascii="宋体" w:hAnsi="宋体" w:eastAsia="宋体" w:cs="宋体"/>
              <w:b/>
              <w:sz w:val="30"/>
              <w:szCs w:val="30"/>
            </w:rPr>
            <w:tab/>
          </w:r>
          <w:r>
            <w:rPr>
              <w:rFonts w:hint="eastAsia" w:ascii="宋体" w:hAnsi="宋体" w:eastAsia="宋体" w:cs="宋体"/>
              <w:b/>
              <w:sz w:val="30"/>
              <w:szCs w:val="30"/>
            </w:rPr>
            <w:fldChar w:fldCharType="begin"/>
          </w:r>
          <w:r>
            <w:rPr>
              <w:rFonts w:hint="eastAsia" w:ascii="宋体" w:hAnsi="宋体" w:eastAsia="宋体" w:cs="宋体"/>
              <w:b/>
              <w:sz w:val="30"/>
              <w:szCs w:val="30"/>
            </w:rPr>
            <w:instrText xml:space="preserve"> PAGEREF _Toc24191 \h </w:instrText>
          </w:r>
          <w:r>
            <w:rPr>
              <w:rFonts w:hint="eastAsia" w:ascii="宋体" w:hAnsi="宋体" w:eastAsia="宋体" w:cs="宋体"/>
              <w:b/>
              <w:sz w:val="30"/>
              <w:szCs w:val="30"/>
            </w:rPr>
            <w:fldChar w:fldCharType="separate"/>
          </w:r>
          <w:r>
            <w:rPr>
              <w:rFonts w:hint="eastAsia" w:ascii="宋体" w:hAnsi="宋体" w:eastAsia="宋体" w:cs="宋体"/>
              <w:b/>
              <w:sz w:val="30"/>
              <w:szCs w:val="30"/>
            </w:rPr>
            <w:t>3</w:t>
          </w:r>
          <w:r>
            <w:rPr>
              <w:rFonts w:hint="eastAsia" w:ascii="宋体" w:hAnsi="宋体" w:eastAsia="宋体" w:cs="宋体"/>
              <w:b/>
              <w:sz w:val="30"/>
              <w:szCs w:val="30"/>
            </w:rPr>
            <w:fldChar w:fldCharType="end"/>
          </w:r>
          <w:r>
            <w:rPr>
              <w:rFonts w:hint="eastAsia" w:ascii="宋体" w:hAnsi="宋体" w:eastAsia="宋体" w:cs="宋体"/>
              <w:b/>
              <w:sz w:val="30"/>
              <w:szCs w:val="30"/>
              <w:lang w:val="en-US" w:eastAsia="zh-CN"/>
            </w:rPr>
            <w:fldChar w:fldCharType="end"/>
          </w:r>
        </w:p>
        <w:p>
          <w:pPr>
            <w:pStyle w:val="17"/>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fldChar w:fldCharType="begin"/>
          </w:r>
          <w:r>
            <w:rPr>
              <w:rFonts w:hint="eastAsia" w:ascii="宋体" w:hAnsi="宋体" w:eastAsia="宋体" w:cs="宋体"/>
              <w:b/>
              <w:sz w:val="30"/>
              <w:szCs w:val="30"/>
              <w:lang w:val="en-US" w:eastAsia="zh-CN"/>
            </w:rPr>
            <w:instrText xml:space="preserve"> HYPERLINK \l _Toc4948 </w:instrText>
          </w:r>
          <w:r>
            <w:rPr>
              <w:rFonts w:hint="eastAsia" w:ascii="宋体" w:hAnsi="宋体" w:eastAsia="宋体" w:cs="宋体"/>
              <w:b/>
              <w:sz w:val="30"/>
              <w:szCs w:val="30"/>
              <w:lang w:val="en-US" w:eastAsia="zh-CN"/>
            </w:rPr>
            <w:fldChar w:fldCharType="separate"/>
          </w:r>
          <w:r>
            <w:rPr>
              <w:rFonts w:hint="eastAsia" w:ascii="宋体" w:hAnsi="宋体" w:eastAsia="宋体" w:cs="宋体"/>
              <w:b/>
              <w:bCs/>
              <w:sz w:val="30"/>
              <w:szCs w:val="30"/>
              <w:lang w:val="en-US" w:eastAsia="zh-CN"/>
            </w:rPr>
            <w:t>三、收支预算情况说明</w:t>
          </w:r>
          <w:r>
            <w:rPr>
              <w:rFonts w:hint="eastAsia" w:ascii="宋体" w:hAnsi="宋体" w:eastAsia="宋体" w:cs="宋体"/>
              <w:b/>
              <w:sz w:val="30"/>
              <w:szCs w:val="30"/>
            </w:rPr>
            <w:tab/>
          </w:r>
          <w:r>
            <w:rPr>
              <w:rFonts w:hint="eastAsia" w:ascii="宋体" w:hAnsi="宋体" w:eastAsia="宋体" w:cs="宋体"/>
              <w:b/>
              <w:sz w:val="30"/>
              <w:szCs w:val="30"/>
            </w:rPr>
            <w:fldChar w:fldCharType="begin"/>
          </w:r>
          <w:r>
            <w:rPr>
              <w:rFonts w:hint="eastAsia" w:ascii="宋体" w:hAnsi="宋体" w:eastAsia="宋体" w:cs="宋体"/>
              <w:b/>
              <w:sz w:val="30"/>
              <w:szCs w:val="30"/>
            </w:rPr>
            <w:instrText xml:space="preserve"> PAGEREF _Toc4948 \h </w:instrText>
          </w:r>
          <w:r>
            <w:rPr>
              <w:rFonts w:hint="eastAsia" w:ascii="宋体" w:hAnsi="宋体" w:eastAsia="宋体" w:cs="宋体"/>
              <w:b/>
              <w:sz w:val="30"/>
              <w:szCs w:val="30"/>
            </w:rPr>
            <w:fldChar w:fldCharType="separate"/>
          </w:r>
          <w:r>
            <w:rPr>
              <w:rFonts w:hint="eastAsia" w:ascii="宋体" w:hAnsi="宋体" w:eastAsia="宋体" w:cs="宋体"/>
              <w:b/>
              <w:sz w:val="30"/>
              <w:szCs w:val="30"/>
            </w:rPr>
            <w:t>3</w:t>
          </w:r>
          <w:r>
            <w:rPr>
              <w:rFonts w:hint="eastAsia" w:ascii="宋体" w:hAnsi="宋体" w:eastAsia="宋体" w:cs="宋体"/>
              <w:b/>
              <w:sz w:val="30"/>
              <w:szCs w:val="30"/>
            </w:rPr>
            <w:fldChar w:fldCharType="end"/>
          </w:r>
          <w:r>
            <w:rPr>
              <w:rFonts w:hint="eastAsia" w:ascii="宋体" w:hAnsi="宋体" w:eastAsia="宋体" w:cs="宋体"/>
              <w:b/>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_Toc17591 </w:instrText>
          </w:r>
          <w:r>
            <w:rPr>
              <w:rFonts w:hint="eastAsia" w:ascii="宋体" w:hAnsi="宋体" w:eastAsia="宋体" w:cs="宋体"/>
              <w:sz w:val="30"/>
              <w:szCs w:val="30"/>
              <w:lang w:val="en-US" w:eastAsia="zh-CN"/>
            </w:rPr>
            <w:fldChar w:fldCharType="separate"/>
          </w:r>
          <w:r>
            <w:rPr>
              <w:rFonts w:hint="eastAsia" w:ascii="宋体" w:hAnsi="宋体" w:eastAsia="宋体" w:cs="宋体"/>
              <w:sz w:val="30"/>
              <w:szCs w:val="30"/>
              <w:lang w:val="en-US" w:eastAsia="zh-CN"/>
            </w:rPr>
            <w:t>（一）收入预算情况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_Toc17591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_Toc31383 </w:instrText>
          </w:r>
          <w:r>
            <w:rPr>
              <w:rFonts w:hint="eastAsia" w:ascii="宋体" w:hAnsi="宋体" w:eastAsia="宋体" w:cs="宋体"/>
              <w:sz w:val="30"/>
              <w:szCs w:val="30"/>
              <w:lang w:val="en-US" w:eastAsia="zh-CN"/>
            </w:rPr>
            <w:fldChar w:fldCharType="separate"/>
          </w:r>
          <w:r>
            <w:rPr>
              <w:rFonts w:hint="eastAsia" w:ascii="宋体" w:hAnsi="宋体" w:eastAsia="宋体" w:cs="宋体"/>
              <w:sz w:val="30"/>
              <w:szCs w:val="30"/>
              <w:lang w:val="en-US" w:eastAsia="zh-CN"/>
            </w:rPr>
            <w:t>（二）支出预算情况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_Toc31383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7"/>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fldChar w:fldCharType="begin"/>
          </w:r>
          <w:r>
            <w:rPr>
              <w:rFonts w:hint="eastAsia" w:ascii="宋体" w:hAnsi="宋体" w:eastAsia="宋体" w:cs="宋体"/>
              <w:b/>
              <w:sz w:val="30"/>
              <w:szCs w:val="30"/>
              <w:lang w:val="en-US" w:eastAsia="zh-CN"/>
            </w:rPr>
            <w:instrText xml:space="preserve"> HYPERLINK \l _Toc3534 </w:instrText>
          </w:r>
          <w:r>
            <w:rPr>
              <w:rFonts w:hint="eastAsia" w:ascii="宋体" w:hAnsi="宋体" w:eastAsia="宋体" w:cs="宋体"/>
              <w:b/>
              <w:sz w:val="30"/>
              <w:szCs w:val="30"/>
              <w:lang w:val="en-US" w:eastAsia="zh-CN"/>
            </w:rPr>
            <w:fldChar w:fldCharType="separate"/>
          </w:r>
          <w:r>
            <w:rPr>
              <w:rFonts w:hint="eastAsia" w:ascii="宋体" w:hAnsi="宋体" w:eastAsia="宋体" w:cs="宋体"/>
              <w:b/>
              <w:bCs/>
              <w:sz w:val="30"/>
              <w:szCs w:val="30"/>
              <w:lang w:val="en-US" w:eastAsia="zh-CN"/>
            </w:rPr>
            <w:t>四、财政拨款收支预算情况说明</w:t>
          </w:r>
          <w:r>
            <w:rPr>
              <w:rFonts w:hint="eastAsia" w:ascii="宋体" w:hAnsi="宋体" w:eastAsia="宋体" w:cs="宋体"/>
              <w:b/>
              <w:sz w:val="30"/>
              <w:szCs w:val="30"/>
            </w:rPr>
            <w:tab/>
          </w:r>
          <w:r>
            <w:rPr>
              <w:rFonts w:hint="eastAsia" w:ascii="宋体" w:hAnsi="宋体" w:eastAsia="宋体" w:cs="宋体"/>
              <w:b/>
              <w:sz w:val="30"/>
              <w:szCs w:val="30"/>
            </w:rPr>
            <w:fldChar w:fldCharType="begin"/>
          </w:r>
          <w:r>
            <w:rPr>
              <w:rFonts w:hint="eastAsia" w:ascii="宋体" w:hAnsi="宋体" w:eastAsia="宋体" w:cs="宋体"/>
              <w:b/>
              <w:sz w:val="30"/>
              <w:szCs w:val="30"/>
            </w:rPr>
            <w:instrText xml:space="preserve"> PAGEREF _Toc3534 \h </w:instrText>
          </w:r>
          <w:r>
            <w:rPr>
              <w:rFonts w:hint="eastAsia" w:ascii="宋体" w:hAnsi="宋体" w:eastAsia="宋体" w:cs="宋体"/>
              <w:b/>
              <w:sz w:val="30"/>
              <w:szCs w:val="30"/>
            </w:rPr>
            <w:fldChar w:fldCharType="separate"/>
          </w:r>
          <w:r>
            <w:rPr>
              <w:rFonts w:hint="eastAsia" w:ascii="宋体" w:hAnsi="宋体" w:eastAsia="宋体" w:cs="宋体"/>
              <w:b/>
              <w:sz w:val="30"/>
              <w:szCs w:val="30"/>
            </w:rPr>
            <w:t>4</w:t>
          </w:r>
          <w:r>
            <w:rPr>
              <w:rFonts w:hint="eastAsia" w:ascii="宋体" w:hAnsi="宋体" w:eastAsia="宋体" w:cs="宋体"/>
              <w:b/>
              <w:sz w:val="30"/>
              <w:szCs w:val="30"/>
            </w:rPr>
            <w:fldChar w:fldCharType="end"/>
          </w:r>
          <w:r>
            <w:rPr>
              <w:rFonts w:hint="eastAsia" w:ascii="宋体" w:hAnsi="宋体" w:eastAsia="宋体" w:cs="宋体"/>
              <w:b/>
              <w:sz w:val="30"/>
              <w:szCs w:val="30"/>
              <w:lang w:val="en-US" w:eastAsia="zh-CN"/>
            </w:rPr>
            <w:fldChar w:fldCharType="end"/>
          </w:r>
        </w:p>
        <w:p>
          <w:pPr>
            <w:pStyle w:val="17"/>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fldChar w:fldCharType="begin"/>
          </w:r>
          <w:r>
            <w:rPr>
              <w:rFonts w:hint="eastAsia" w:ascii="宋体" w:hAnsi="宋体" w:eastAsia="宋体" w:cs="宋体"/>
              <w:b/>
              <w:sz w:val="30"/>
              <w:szCs w:val="30"/>
              <w:lang w:val="en-US" w:eastAsia="zh-CN"/>
            </w:rPr>
            <w:instrText xml:space="preserve"> HYPERLINK \l _Toc15569 </w:instrText>
          </w:r>
          <w:r>
            <w:rPr>
              <w:rFonts w:hint="eastAsia" w:ascii="宋体" w:hAnsi="宋体" w:eastAsia="宋体" w:cs="宋体"/>
              <w:b/>
              <w:sz w:val="30"/>
              <w:szCs w:val="30"/>
              <w:lang w:val="en-US" w:eastAsia="zh-CN"/>
            </w:rPr>
            <w:fldChar w:fldCharType="separate"/>
          </w:r>
          <w:r>
            <w:rPr>
              <w:rFonts w:hint="eastAsia" w:ascii="宋体" w:hAnsi="宋体" w:eastAsia="宋体" w:cs="宋体"/>
              <w:b/>
              <w:bCs/>
              <w:sz w:val="30"/>
              <w:szCs w:val="30"/>
              <w:lang w:val="en-US" w:eastAsia="zh-CN"/>
            </w:rPr>
            <w:t>五、一般公共预算当年拨款情况说明</w:t>
          </w:r>
          <w:r>
            <w:rPr>
              <w:rFonts w:hint="eastAsia" w:ascii="宋体" w:hAnsi="宋体" w:eastAsia="宋体" w:cs="宋体"/>
              <w:b/>
              <w:sz w:val="30"/>
              <w:szCs w:val="30"/>
            </w:rPr>
            <w:tab/>
          </w:r>
          <w:r>
            <w:rPr>
              <w:rFonts w:hint="eastAsia" w:ascii="宋体" w:hAnsi="宋体" w:eastAsia="宋体" w:cs="宋体"/>
              <w:b/>
              <w:sz w:val="30"/>
              <w:szCs w:val="30"/>
            </w:rPr>
            <w:fldChar w:fldCharType="begin"/>
          </w:r>
          <w:r>
            <w:rPr>
              <w:rFonts w:hint="eastAsia" w:ascii="宋体" w:hAnsi="宋体" w:eastAsia="宋体" w:cs="宋体"/>
              <w:b/>
              <w:sz w:val="30"/>
              <w:szCs w:val="30"/>
            </w:rPr>
            <w:instrText xml:space="preserve"> PAGEREF _Toc15569 \h </w:instrText>
          </w:r>
          <w:r>
            <w:rPr>
              <w:rFonts w:hint="eastAsia" w:ascii="宋体" w:hAnsi="宋体" w:eastAsia="宋体" w:cs="宋体"/>
              <w:b/>
              <w:sz w:val="30"/>
              <w:szCs w:val="30"/>
            </w:rPr>
            <w:fldChar w:fldCharType="separate"/>
          </w:r>
          <w:r>
            <w:rPr>
              <w:rFonts w:hint="eastAsia" w:ascii="宋体" w:hAnsi="宋体" w:eastAsia="宋体" w:cs="宋体"/>
              <w:b/>
              <w:sz w:val="30"/>
              <w:szCs w:val="30"/>
            </w:rPr>
            <w:t>4</w:t>
          </w:r>
          <w:r>
            <w:rPr>
              <w:rFonts w:hint="eastAsia" w:ascii="宋体" w:hAnsi="宋体" w:eastAsia="宋体" w:cs="宋体"/>
              <w:b/>
              <w:sz w:val="30"/>
              <w:szCs w:val="30"/>
            </w:rPr>
            <w:fldChar w:fldCharType="end"/>
          </w:r>
          <w:r>
            <w:rPr>
              <w:rFonts w:hint="eastAsia" w:ascii="宋体" w:hAnsi="宋体" w:eastAsia="宋体" w:cs="宋体"/>
              <w:b/>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_Toc8257 </w:instrText>
          </w:r>
          <w:r>
            <w:rPr>
              <w:rFonts w:hint="eastAsia" w:ascii="宋体" w:hAnsi="宋体" w:eastAsia="宋体" w:cs="宋体"/>
              <w:sz w:val="30"/>
              <w:szCs w:val="30"/>
              <w:lang w:val="en-US" w:eastAsia="zh-CN"/>
            </w:rPr>
            <w:fldChar w:fldCharType="separate"/>
          </w:r>
          <w:r>
            <w:rPr>
              <w:rFonts w:hint="eastAsia" w:ascii="宋体" w:hAnsi="宋体" w:eastAsia="宋体" w:cs="宋体"/>
              <w:bCs/>
              <w:sz w:val="30"/>
              <w:szCs w:val="30"/>
              <w:lang w:val="en-US" w:eastAsia="zh-CN"/>
            </w:rPr>
            <w:t>（一）一般公共预算当年拨款规模变化情况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_Toc8257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_Toc25913 </w:instrText>
          </w:r>
          <w:r>
            <w:rPr>
              <w:rFonts w:hint="eastAsia" w:ascii="宋体" w:hAnsi="宋体" w:eastAsia="宋体" w:cs="宋体"/>
              <w:sz w:val="30"/>
              <w:szCs w:val="30"/>
              <w:lang w:val="en-US" w:eastAsia="zh-CN"/>
            </w:rPr>
            <w:fldChar w:fldCharType="separate"/>
          </w:r>
          <w:r>
            <w:rPr>
              <w:rFonts w:hint="eastAsia" w:ascii="宋体" w:hAnsi="宋体" w:eastAsia="宋体" w:cs="宋体"/>
              <w:bCs/>
              <w:sz w:val="30"/>
              <w:szCs w:val="30"/>
              <w:lang w:val="en-US" w:eastAsia="zh-CN"/>
            </w:rPr>
            <w:t>（二）一般公共预算当年拨款结构情况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_Toc25913 \h </w:instrText>
          </w:r>
          <w:r>
            <w:rPr>
              <w:rFonts w:hint="eastAsia" w:ascii="宋体" w:hAnsi="宋体" w:eastAsia="宋体" w:cs="宋体"/>
              <w:sz w:val="30"/>
              <w:szCs w:val="30"/>
            </w:rPr>
            <w:fldChar w:fldCharType="separate"/>
          </w:r>
          <w:r>
            <w:rPr>
              <w:rFonts w:hint="eastAsia" w:ascii="宋体" w:hAnsi="宋体" w:eastAsia="宋体" w:cs="宋体"/>
              <w:sz w:val="30"/>
              <w:szCs w:val="30"/>
            </w:rPr>
            <w:t>5</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_Toc18027 </w:instrText>
          </w:r>
          <w:r>
            <w:rPr>
              <w:rFonts w:hint="eastAsia" w:ascii="宋体" w:hAnsi="宋体" w:eastAsia="宋体" w:cs="宋体"/>
              <w:sz w:val="30"/>
              <w:szCs w:val="30"/>
              <w:lang w:val="en-US" w:eastAsia="zh-CN"/>
            </w:rPr>
            <w:fldChar w:fldCharType="separate"/>
          </w:r>
          <w:r>
            <w:rPr>
              <w:rFonts w:hint="eastAsia" w:ascii="宋体" w:hAnsi="宋体" w:eastAsia="宋体" w:cs="宋体"/>
              <w:bCs/>
              <w:sz w:val="30"/>
              <w:szCs w:val="30"/>
              <w:lang w:val="en-US" w:eastAsia="zh-CN"/>
            </w:rPr>
            <w:t>（三）一般公共预算当年拨款具体使用情况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_Toc18027 \h </w:instrText>
          </w:r>
          <w:r>
            <w:rPr>
              <w:rFonts w:hint="eastAsia" w:ascii="宋体" w:hAnsi="宋体" w:eastAsia="宋体" w:cs="宋体"/>
              <w:sz w:val="30"/>
              <w:szCs w:val="30"/>
            </w:rPr>
            <w:fldChar w:fldCharType="separate"/>
          </w:r>
          <w:r>
            <w:rPr>
              <w:rFonts w:hint="eastAsia" w:ascii="宋体" w:hAnsi="宋体" w:eastAsia="宋体" w:cs="宋体"/>
              <w:sz w:val="30"/>
              <w:szCs w:val="30"/>
            </w:rPr>
            <w:t>5</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7"/>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fldChar w:fldCharType="begin"/>
          </w:r>
          <w:r>
            <w:rPr>
              <w:rFonts w:hint="eastAsia" w:ascii="宋体" w:hAnsi="宋体" w:eastAsia="宋体" w:cs="宋体"/>
              <w:b/>
              <w:sz w:val="30"/>
              <w:szCs w:val="30"/>
              <w:lang w:val="en-US" w:eastAsia="zh-CN"/>
            </w:rPr>
            <w:instrText xml:space="preserve"> HYPERLINK \l _Toc22708 </w:instrText>
          </w:r>
          <w:r>
            <w:rPr>
              <w:rFonts w:hint="eastAsia" w:ascii="宋体" w:hAnsi="宋体" w:eastAsia="宋体" w:cs="宋体"/>
              <w:b/>
              <w:sz w:val="30"/>
              <w:szCs w:val="30"/>
              <w:lang w:val="en-US" w:eastAsia="zh-CN"/>
            </w:rPr>
            <w:fldChar w:fldCharType="separate"/>
          </w:r>
          <w:r>
            <w:rPr>
              <w:rFonts w:hint="eastAsia" w:ascii="宋体" w:hAnsi="宋体" w:eastAsia="宋体" w:cs="宋体"/>
              <w:b/>
              <w:bCs/>
              <w:sz w:val="30"/>
              <w:szCs w:val="30"/>
              <w:lang w:val="en-US" w:eastAsia="zh-CN"/>
            </w:rPr>
            <w:t>六、一般公共预算基本支出情况说明</w:t>
          </w:r>
          <w:r>
            <w:rPr>
              <w:rFonts w:hint="eastAsia" w:ascii="宋体" w:hAnsi="宋体" w:eastAsia="宋体" w:cs="宋体"/>
              <w:b/>
              <w:sz w:val="30"/>
              <w:szCs w:val="30"/>
            </w:rPr>
            <w:tab/>
          </w:r>
          <w:r>
            <w:rPr>
              <w:rFonts w:hint="eastAsia" w:ascii="宋体" w:hAnsi="宋体" w:eastAsia="宋体" w:cs="宋体"/>
              <w:b/>
              <w:sz w:val="30"/>
              <w:szCs w:val="30"/>
            </w:rPr>
            <w:fldChar w:fldCharType="begin"/>
          </w:r>
          <w:r>
            <w:rPr>
              <w:rFonts w:hint="eastAsia" w:ascii="宋体" w:hAnsi="宋体" w:eastAsia="宋体" w:cs="宋体"/>
              <w:b/>
              <w:sz w:val="30"/>
              <w:szCs w:val="30"/>
            </w:rPr>
            <w:instrText xml:space="preserve"> PAGEREF _Toc22708 \h </w:instrText>
          </w:r>
          <w:r>
            <w:rPr>
              <w:rFonts w:hint="eastAsia" w:ascii="宋体" w:hAnsi="宋体" w:eastAsia="宋体" w:cs="宋体"/>
              <w:b/>
              <w:sz w:val="30"/>
              <w:szCs w:val="30"/>
            </w:rPr>
            <w:fldChar w:fldCharType="separate"/>
          </w:r>
          <w:r>
            <w:rPr>
              <w:rFonts w:hint="eastAsia" w:ascii="宋体" w:hAnsi="宋体" w:eastAsia="宋体" w:cs="宋体"/>
              <w:b/>
              <w:sz w:val="30"/>
              <w:szCs w:val="30"/>
            </w:rPr>
            <w:t>6</w:t>
          </w:r>
          <w:r>
            <w:rPr>
              <w:rFonts w:hint="eastAsia" w:ascii="宋体" w:hAnsi="宋体" w:eastAsia="宋体" w:cs="宋体"/>
              <w:b/>
              <w:sz w:val="30"/>
              <w:szCs w:val="30"/>
            </w:rPr>
            <w:fldChar w:fldCharType="end"/>
          </w:r>
          <w:r>
            <w:rPr>
              <w:rFonts w:hint="eastAsia" w:ascii="宋体" w:hAnsi="宋体" w:eastAsia="宋体" w:cs="宋体"/>
              <w:b/>
              <w:sz w:val="30"/>
              <w:szCs w:val="30"/>
              <w:lang w:val="en-US" w:eastAsia="zh-CN"/>
            </w:rPr>
            <w:fldChar w:fldCharType="end"/>
          </w:r>
        </w:p>
        <w:p>
          <w:pPr>
            <w:pStyle w:val="17"/>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fldChar w:fldCharType="begin"/>
          </w:r>
          <w:r>
            <w:rPr>
              <w:rFonts w:hint="eastAsia" w:ascii="宋体" w:hAnsi="宋体" w:eastAsia="宋体" w:cs="宋体"/>
              <w:b/>
              <w:sz w:val="30"/>
              <w:szCs w:val="30"/>
              <w:lang w:val="en-US" w:eastAsia="zh-CN"/>
            </w:rPr>
            <w:instrText xml:space="preserve"> HYPERLINK \l _Toc28083 </w:instrText>
          </w:r>
          <w:r>
            <w:rPr>
              <w:rFonts w:hint="eastAsia" w:ascii="宋体" w:hAnsi="宋体" w:eastAsia="宋体" w:cs="宋体"/>
              <w:b/>
              <w:sz w:val="30"/>
              <w:szCs w:val="30"/>
              <w:lang w:val="en-US" w:eastAsia="zh-CN"/>
            </w:rPr>
            <w:fldChar w:fldCharType="separate"/>
          </w:r>
          <w:r>
            <w:rPr>
              <w:rFonts w:hint="eastAsia" w:ascii="宋体" w:hAnsi="宋体" w:eastAsia="宋体" w:cs="宋体"/>
              <w:b/>
              <w:bCs/>
              <w:sz w:val="30"/>
              <w:szCs w:val="30"/>
              <w:lang w:val="en-US" w:eastAsia="zh-CN"/>
            </w:rPr>
            <w:t>七、“三公”经费财政拨款预算安排情况说明</w:t>
          </w:r>
          <w:r>
            <w:rPr>
              <w:rFonts w:hint="eastAsia" w:ascii="宋体" w:hAnsi="宋体" w:eastAsia="宋体" w:cs="宋体"/>
              <w:b/>
              <w:sz w:val="30"/>
              <w:szCs w:val="30"/>
            </w:rPr>
            <w:tab/>
          </w:r>
          <w:r>
            <w:rPr>
              <w:rFonts w:hint="eastAsia" w:ascii="宋体" w:hAnsi="宋体" w:eastAsia="宋体" w:cs="宋体"/>
              <w:b/>
              <w:sz w:val="30"/>
              <w:szCs w:val="30"/>
            </w:rPr>
            <w:fldChar w:fldCharType="begin"/>
          </w:r>
          <w:r>
            <w:rPr>
              <w:rFonts w:hint="eastAsia" w:ascii="宋体" w:hAnsi="宋体" w:eastAsia="宋体" w:cs="宋体"/>
              <w:b/>
              <w:sz w:val="30"/>
              <w:szCs w:val="30"/>
            </w:rPr>
            <w:instrText xml:space="preserve"> PAGEREF _Toc28083 \h </w:instrText>
          </w:r>
          <w:r>
            <w:rPr>
              <w:rFonts w:hint="eastAsia" w:ascii="宋体" w:hAnsi="宋体" w:eastAsia="宋体" w:cs="宋体"/>
              <w:b/>
              <w:sz w:val="30"/>
              <w:szCs w:val="30"/>
            </w:rPr>
            <w:fldChar w:fldCharType="separate"/>
          </w:r>
          <w:r>
            <w:rPr>
              <w:rFonts w:hint="eastAsia" w:ascii="宋体" w:hAnsi="宋体" w:eastAsia="宋体" w:cs="宋体"/>
              <w:b/>
              <w:sz w:val="30"/>
              <w:szCs w:val="30"/>
            </w:rPr>
            <w:t>6</w:t>
          </w:r>
          <w:r>
            <w:rPr>
              <w:rFonts w:hint="eastAsia" w:ascii="宋体" w:hAnsi="宋体" w:eastAsia="宋体" w:cs="宋体"/>
              <w:b/>
              <w:sz w:val="30"/>
              <w:szCs w:val="30"/>
            </w:rPr>
            <w:fldChar w:fldCharType="end"/>
          </w:r>
          <w:r>
            <w:rPr>
              <w:rFonts w:hint="eastAsia" w:ascii="宋体" w:hAnsi="宋体" w:eastAsia="宋体" w:cs="宋体"/>
              <w:b/>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_Toc17111 </w:instrText>
          </w:r>
          <w:r>
            <w:rPr>
              <w:rFonts w:hint="eastAsia" w:ascii="宋体" w:hAnsi="宋体" w:eastAsia="宋体" w:cs="宋体"/>
              <w:sz w:val="30"/>
              <w:szCs w:val="30"/>
              <w:lang w:val="en-US" w:eastAsia="zh-CN"/>
            </w:rPr>
            <w:fldChar w:fldCharType="separate"/>
          </w:r>
          <w:r>
            <w:rPr>
              <w:rFonts w:hint="eastAsia" w:ascii="宋体" w:hAnsi="宋体" w:eastAsia="宋体" w:cs="宋体"/>
              <w:bCs/>
              <w:sz w:val="30"/>
              <w:szCs w:val="30"/>
              <w:lang w:val="en-US" w:eastAsia="zh-CN"/>
            </w:rPr>
            <w:t>（一）公务接待费</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_Toc17111 \h </w:instrText>
          </w:r>
          <w:r>
            <w:rPr>
              <w:rFonts w:hint="eastAsia" w:ascii="宋体" w:hAnsi="宋体" w:eastAsia="宋体" w:cs="宋体"/>
              <w:sz w:val="30"/>
              <w:szCs w:val="30"/>
            </w:rPr>
            <w:fldChar w:fldCharType="separate"/>
          </w:r>
          <w:r>
            <w:rPr>
              <w:rFonts w:hint="eastAsia" w:ascii="宋体" w:hAnsi="宋体" w:eastAsia="宋体" w:cs="宋体"/>
              <w:sz w:val="30"/>
              <w:szCs w:val="30"/>
            </w:rPr>
            <w:t>6</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_Toc24567 </w:instrText>
          </w:r>
          <w:r>
            <w:rPr>
              <w:rFonts w:hint="eastAsia" w:ascii="宋体" w:hAnsi="宋体" w:eastAsia="宋体" w:cs="宋体"/>
              <w:sz w:val="30"/>
              <w:szCs w:val="30"/>
              <w:lang w:val="en-US" w:eastAsia="zh-CN"/>
            </w:rPr>
            <w:fldChar w:fldCharType="separate"/>
          </w:r>
          <w:r>
            <w:rPr>
              <w:rFonts w:hint="eastAsia" w:ascii="宋体" w:hAnsi="宋体" w:eastAsia="宋体" w:cs="宋体"/>
              <w:bCs/>
              <w:sz w:val="30"/>
              <w:szCs w:val="30"/>
              <w:lang w:val="en-US" w:eastAsia="zh-CN"/>
            </w:rPr>
            <w:t>（二）公务用车购置及运行维护费</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_Toc24567 \h </w:instrText>
          </w:r>
          <w:r>
            <w:rPr>
              <w:rFonts w:hint="eastAsia" w:ascii="宋体" w:hAnsi="宋体" w:eastAsia="宋体" w:cs="宋体"/>
              <w:sz w:val="30"/>
              <w:szCs w:val="30"/>
            </w:rPr>
            <w:fldChar w:fldCharType="separate"/>
          </w:r>
          <w:r>
            <w:rPr>
              <w:rFonts w:hint="eastAsia" w:ascii="宋体" w:hAnsi="宋体" w:eastAsia="宋体" w:cs="宋体"/>
              <w:sz w:val="30"/>
              <w:szCs w:val="30"/>
            </w:rPr>
            <w:t>7</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_Toc26659 </w:instrText>
          </w:r>
          <w:r>
            <w:rPr>
              <w:rFonts w:hint="eastAsia" w:ascii="宋体" w:hAnsi="宋体" w:eastAsia="宋体" w:cs="宋体"/>
              <w:sz w:val="30"/>
              <w:szCs w:val="30"/>
              <w:lang w:val="en-US" w:eastAsia="zh-CN"/>
            </w:rPr>
            <w:fldChar w:fldCharType="separate"/>
          </w:r>
          <w:r>
            <w:rPr>
              <w:rFonts w:hint="eastAsia" w:ascii="宋体" w:hAnsi="宋体" w:eastAsia="宋体" w:cs="宋体"/>
              <w:bCs/>
              <w:sz w:val="30"/>
              <w:szCs w:val="30"/>
              <w:lang w:val="en-US" w:eastAsia="zh-CN"/>
            </w:rPr>
            <w:t>（三）因公出国（境）经费</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_Toc26659 \h </w:instrText>
          </w:r>
          <w:r>
            <w:rPr>
              <w:rFonts w:hint="eastAsia" w:ascii="宋体" w:hAnsi="宋体" w:eastAsia="宋体" w:cs="宋体"/>
              <w:sz w:val="30"/>
              <w:szCs w:val="30"/>
            </w:rPr>
            <w:fldChar w:fldCharType="separate"/>
          </w:r>
          <w:r>
            <w:rPr>
              <w:rFonts w:hint="eastAsia" w:ascii="宋体" w:hAnsi="宋体" w:eastAsia="宋体" w:cs="宋体"/>
              <w:sz w:val="30"/>
              <w:szCs w:val="30"/>
            </w:rPr>
            <w:t>7</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7"/>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fldChar w:fldCharType="begin"/>
          </w:r>
          <w:r>
            <w:rPr>
              <w:rFonts w:hint="eastAsia" w:ascii="宋体" w:hAnsi="宋体" w:eastAsia="宋体" w:cs="宋体"/>
              <w:b/>
              <w:sz w:val="30"/>
              <w:szCs w:val="30"/>
              <w:lang w:val="en-US" w:eastAsia="zh-CN"/>
            </w:rPr>
            <w:instrText xml:space="preserve"> HYPERLINK \l _Toc20839 </w:instrText>
          </w:r>
          <w:r>
            <w:rPr>
              <w:rFonts w:hint="eastAsia" w:ascii="宋体" w:hAnsi="宋体" w:eastAsia="宋体" w:cs="宋体"/>
              <w:b/>
              <w:sz w:val="30"/>
              <w:szCs w:val="30"/>
              <w:lang w:val="en-US" w:eastAsia="zh-CN"/>
            </w:rPr>
            <w:fldChar w:fldCharType="separate"/>
          </w:r>
          <w:r>
            <w:rPr>
              <w:rFonts w:hint="eastAsia" w:ascii="宋体" w:hAnsi="宋体" w:eastAsia="宋体" w:cs="宋体"/>
              <w:b/>
              <w:bCs/>
              <w:sz w:val="30"/>
              <w:szCs w:val="30"/>
              <w:lang w:val="en-US" w:eastAsia="zh-CN"/>
            </w:rPr>
            <w:t>九、国有资本经营预算支出情况说明</w:t>
          </w:r>
          <w:r>
            <w:rPr>
              <w:rFonts w:hint="eastAsia" w:ascii="宋体" w:hAnsi="宋体" w:eastAsia="宋体" w:cs="宋体"/>
              <w:b/>
              <w:sz w:val="30"/>
              <w:szCs w:val="30"/>
            </w:rPr>
            <w:tab/>
          </w:r>
          <w:r>
            <w:rPr>
              <w:rFonts w:hint="eastAsia" w:ascii="宋体" w:hAnsi="宋体" w:eastAsia="宋体" w:cs="宋体"/>
              <w:b/>
              <w:sz w:val="30"/>
              <w:szCs w:val="30"/>
            </w:rPr>
            <w:fldChar w:fldCharType="begin"/>
          </w:r>
          <w:r>
            <w:rPr>
              <w:rFonts w:hint="eastAsia" w:ascii="宋体" w:hAnsi="宋体" w:eastAsia="宋体" w:cs="宋体"/>
              <w:b/>
              <w:sz w:val="30"/>
              <w:szCs w:val="30"/>
            </w:rPr>
            <w:instrText xml:space="preserve"> PAGEREF _Toc20839 \h </w:instrText>
          </w:r>
          <w:r>
            <w:rPr>
              <w:rFonts w:hint="eastAsia" w:ascii="宋体" w:hAnsi="宋体" w:eastAsia="宋体" w:cs="宋体"/>
              <w:b/>
              <w:sz w:val="30"/>
              <w:szCs w:val="30"/>
            </w:rPr>
            <w:fldChar w:fldCharType="separate"/>
          </w:r>
          <w:r>
            <w:rPr>
              <w:rFonts w:hint="eastAsia" w:ascii="宋体" w:hAnsi="宋体" w:eastAsia="宋体" w:cs="宋体"/>
              <w:b/>
              <w:sz w:val="30"/>
              <w:szCs w:val="30"/>
            </w:rPr>
            <w:t>7</w:t>
          </w:r>
          <w:r>
            <w:rPr>
              <w:rFonts w:hint="eastAsia" w:ascii="宋体" w:hAnsi="宋体" w:eastAsia="宋体" w:cs="宋体"/>
              <w:b/>
              <w:sz w:val="30"/>
              <w:szCs w:val="30"/>
            </w:rPr>
            <w:fldChar w:fldCharType="end"/>
          </w:r>
          <w:r>
            <w:rPr>
              <w:rFonts w:hint="eastAsia" w:ascii="宋体" w:hAnsi="宋体" w:eastAsia="宋体" w:cs="宋体"/>
              <w:b/>
              <w:sz w:val="30"/>
              <w:szCs w:val="30"/>
              <w:lang w:val="en-US" w:eastAsia="zh-CN"/>
            </w:rPr>
            <w:fldChar w:fldCharType="end"/>
          </w:r>
        </w:p>
        <w:p>
          <w:pPr>
            <w:pStyle w:val="17"/>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b/>
              <w:sz w:val="30"/>
              <w:szCs w:val="30"/>
            </w:rPr>
          </w:pPr>
          <w:r>
            <w:rPr>
              <w:rFonts w:hint="eastAsia" w:ascii="宋体" w:hAnsi="宋体" w:eastAsia="宋体" w:cs="宋体"/>
              <w:b/>
              <w:sz w:val="30"/>
              <w:szCs w:val="30"/>
              <w:lang w:val="en-US" w:eastAsia="zh-CN"/>
            </w:rPr>
            <w:fldChar w:fldCharType="begin"/>
          </w:r>
          <w:r>
            <w:rPr>
              <w:rFonts w:hint="eastAsia" w:ascii="宋体" w:hAnsi="宋体" w:eastAsia="宋体" w:cs="宋体"/>
              <w:b/>
              <w:sz w:val="30"/>
              <w:szCs w:val="30"/>
              <w:lang w:val="en-US" w:eastAsia="zh-CN"/>
            </w:rPr>
            <w:instrText xml:space="preserve"> HYPERLINK \l _Toc28404 </w:instrText>
          </w:r>
          <w:r>
            <w:rPr>
              <w:rFonts w:hint="eastAsia" w:ascii="宋体" w:hAnsi="宋体" w:eastAsia="宋体" w:cs="宋体"/>
              <w:b/>
              <w:sz w:val="30"/>
              <w:szCs w:val="30"/>
              <w:lang w:val="en-US" w:eastAsia="zh-CN"/>
            </w:rPr>
            <w:fldChar w:fldCharType="separate"/>
          </w:r>
          <w:r>
            <w:rPr>
              <w:rFonts w:hint="eastAsia" w:ascii="宋体" w:hAnsi="宋体" w:eastAsia="宋体" w:cs="宋体"/>
              <w:b/>
              <w:bCs/>
              <w:sz w:val="30"/>
              <w:szCs w:val="30"/>
              <w:lang w:val="en-US" w:eastAsia="zh-CN"/>
            </w:rPr>
            <w:t>十、其他重要事项的情况说明</w:t>
          </w:r>
          <w:r>
            <w:rPr>
              <w:rFonts w:hint="eastAsia" w:ascii="宋体" w:hAnsi="宋体" w:eastAsia="宋体" w:cs="宋体"/>
              <w:b/>
              <w:sz w:val="30"/>
              <w:szCs w:val="30"/>
            </w:rPr>
            <w:tab/>
          </w:r>
          <w:r>
            <w:rPr>
              <w:rFonts w:hint="eastAsia" w:ascii="宋体" w:hAnsi="宋体" w:eastAsia="宋体" w:cs="宋体"/>
              <w:b/>
              <w:sz w:val="30"/>
              <w:szCs w:val="30"/>
            </w:rPr>
            <w:fldChar w:fldCharType="begin"/>
          </w:r>
          <w:r>
            <w:rPr>
              <w:rFonts w:hint="eastAsia" w:ascii="宋体" w:hAnsi="宋体" w:eastAsia="宋体" w:cs="宋体"/>
              <w:b/>
              <w:sz w:val="30"/>
              <w:szCs w:val="30"/>
            </w:rPr>
            <w:instrText xml:space="preserve"> PAGEREF _Toc28404 \h </w:instrText>
          </w:r>
          <w:r>
            <w:rPr>
              <w:rFonts w:hint="eastAsia" w:ascii="宋体" w:hAnsi="宋体" w:eastAsia="宋体" w:cs="宋体"/>
              <w:b/>
              <w:sz w:val="30"/>
              <w:szCs w:val="30"/>
            </w:rPr>
            <w:fldChar w:fldCharType="separate"/>
          </w:r>
          <w:r>
            <w:rPr>
              <w:rFonts w:hint="eastAsia" w:ascii="宋体" w:hAnsi="宋体" w:eastAsia="宋体" w:cs="宋体"/>
              <w:b/>
              <w:sz w:val="30"/>
              <w:szCs w:val="30"/>
            </w:rPr>
            <w:t>7</w:t>
          </w:r>
          <w:r>
            <w:rPr>
              <w:rFonts w:hint="eastAsia" w:ascii="宋体" w:hAnsi="宋体" w:eastAsia="宋体" w:cs="宋体"/>
              <w:b/>
              <w:sz w:val="30"/>
              <w:szCs w:val="30"/>
            </w:rPr>
            <w:fldChar w:fldCharType="end"/>
          </w:r>
          <w:r>
            <w:rPr>
              <w:rFonts w:hint="eastAsia" w:ascii="宋体" w:hAnsi="宋体" w:eastAsia="宋体" w:cs="宋体"/>
              <w:b/>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_Toc11827 </w:instrText>
          </w:r>
          <w:r>
            <w:rPr>
              <w:rFonts w:hint="eastAsia" w:ascii="宋体" w:hAnsi="宋体" w:eastAsia="宋体" w:cs="宋体"/>
              <w:sz w:val="30"/>
              <w:szCs w:val="30"/>
              <w:lang w:val="en-US" w:eastAsia="zh-CN"/>
            </w:rPr>
            <w:fldChar w:fldCharType="separate"/>
          </w:r>
          <w:r>
            <w:rPr>
              <w:rFonts w:hint="eastAsia" w:ascii="宋体" w:hAnsi="宋体" w:eastAsia="宋体" w:cs="宋体"/>
              <w:bCs/>
              <w:sz w:val="30"/>
              <w:szCs w:val="30"/>
              <w:lang w:val="en-US" w:eastAsia="zh-CN"/>
            </w:rPr>
            <w:t>（一）机关运行经费</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_Toc11827 \h </w:instrText>
          </w:r>
          <w:r>
            <w:rPr>
              <w:rFonts w:hint="eastAsia" w:ascii="宋体" w:hAnsi="宋体" w:eastAsia="宋体" w:cs="宋体"/>
              <w:sz w:val="30"/>
              <w:szCs w:val="30"/>
            </w:rPr>
            <w:fldChar w:fldCharType="separate"/>
          </w:r>
          <w:r>
            <w:rPr>
              <w:rFonts w:hint="eastAsia" w:ascii="宋体" w:hAnsi="宋体" w:eastAsia="宋体" w:cs="宋体"/>
              <w:sz w:val="30"/>
              <w:szCs w:val="30"/>
            </w:rPr>
            <w:t>7</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_Toc31984 </w:instrText>
          </w:r>
          <w:r>
            <w:rPr>
              <w:rFonts w:hint="eastAsia" w:ascii="宋体" w:hAnsi="宋体" w:eastAsia="宋体" w:cs="宋体"/>
              <w:sz w:val="30"/>
              <w:szCs w:val="30"/>
              <w:lang w:val="en-US" w:eastAsia="zh-CN"/>
            </w:rPr>
            <w:fldChar w:fldCharType="separate"/>
          </w:r>
          <w:r>
            <w:rPr>
              <w:rFonts w:hint="eastAsia" w:ascii="宋体" w:hAnsi="宋体" w:eastAsia="宋体" w:cs="宋体"/>
              <w:bCs/>
              <w:sz w:val="30"/>
              <w:szCs w:val="30"/>
              <w:lang w:val="en-US" w:eastAsia="zh-CN"/>
            </w:rPr>
            <w:t>（二）政府采购情况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_Toc31984 \h </w:instrText>
          </w:r>
          <w:r>
            <w:rPr>
              <w:rFonts w:hint="eastAsia" w:ascii="宋体" w:hAnsi="宋体" w:eastAsia="宋体" w:cs="宋体"/>
              <w:sz w:val="30"/>
              <w:szCs w:val="30"/>
            </w:rPr>
            <w:fldChar w:fldCharType="separate"/>
          </w:r>
          <w:r>
            <w:rPr>
              <w:rFonts w:hint="eastAsia" w:ascii="宋体" w:hAnsi="宋体" w:eastAsia="宋体" w:cs="宋体"/>
              <w:sz w:val="30"/>
              <w:szCs w:val="30"/>
            </w:rPr>
            <w:t>8</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b/>
              <w:bCs/>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_Toc11964 </w:instrText>
          </w:r>
          <w:r>
            <w:rPr>
              <w:rFonts w:hint="eastAsia" w:ascii="宋体" w:hAnsi="宋体" w:eastAsia="宋体" w:cs="宋体"/>
              <w:sz w:val="30"/>
              <w:szCs w:val="30"/>
              <w:lang w:val="en-US" w:eastAsia="zh-CN"/>
            </w:rPr>
            <w:fldChar w:fldCharType="separate"/>
          </w:r>
          <w:r>
            <w:rPr>
              <w:rFonts w:hint="eastAsia" w:ascii="宋体" w:hAnsi="宋体" w:eastAsia="宋体" w:cs="宋体"/>
              <w:bCs/>
              <w:sz w:val="30"/>
              <w:szCs w:val="30"/>
              <w:lang w:val="en-US" w:eastAsia="zh-CN"/>
            </w:rPr>
            <w:t>（三）国有资产占有使用情况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_Toc11964 \h </w:instrText>
          </w:r>
          <w:r>
            <w:rPr>
              <w:rFonts w:hint="eastAsia" w:ascii="宋体" w:hAnsi="宋体" w:eastAsia="宋体" w:cs="宋体"/>
              <w:sz w:val="30"/>
              <w:szCs w:val="30"/>
            </w:rPr>
            <w:fldChar w:fldCharType="separate"/>
          </w:r>
          <w:r>
            <w:rPr>
              <w:rFonts w:hint="eastAsia" w:ascii="宋体" w:hAnsi="宋体" w:eastAsia="宋体" w:cs="宋体"/>
              <w:sz w:val="30"/>
              <w:szCs w:val="30"/>
            </w:rPr>
            <w:t>8</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8"/>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宋体" w:hAnsi="宋体" w:eastAsia="宋体" w:cs="宋体"/>
              <w:sz w:val="30"/>
              <w:szCs w:val="30"/>
            </w:rPr>
          </w:pPr>
          <w:r>
            <w:rPr>
              <w:rFonts w:hint="eastAsia" w:ascii="宋体" w:hAnsi="宋体" w:eastAsia="宋体" w:cs="宋体"/>
              <w:sz w:val="30"/>
              <w:szCs w:val="30"/>
              <w:lang w:val="en-US" w:eastAsia="zh-CN"/>
            </w:rPr>
            <w:fldChar w:fldCharType="begin"/>
          </w:r>
          <w:r>
            <w:rPr>
              <w:rFonts w:hint="eastAsia" w:ascii="宋体" w:hAnsi="宋体" w:eastAsia="宋体" w:cs="宋体"/>
              <w:sz w:val="30"/>
              <w:szCs w:val="30"/>
              <w:lang w:val="en-US" w:eastAsia="zh-CN"/>
            </w:rPr>
            <w:instrText xml:space="preserve"> HYPERLINK \l _Toc13569 </w:instrText>
          </w:r>
          <w:r>
            <w:rPr>
              <w:rFonts w:hint="eastAsia" w:ascii="宋体" w:hAnsi="宋体" w:eastAsia="宋体" w:cs="宋体"/>
              <w:sz w:val="30"/>
              <w:szCs w:val="30"/>
              <w:lang w:val="en-US" w:eastAsia="zh-CN"/>
            </w:rPr>
            <w:fldChar w:fldCharType="separate"/>
          </w:r>
          <w:r>
            <w:rPr>
              <w:rFonts w:hint="eastAsia" w:ascii="宋体" w:hAnsi="宋体" w:eastAsia="宋体" w:cs="宋体"/>
              <w:bCs/>
              <w:sz w:val="30"/>
              <w:szCs w:val="30"/>
              <w:lang w:val="en-US" w:eastAsia="zh-CN"/>
            </w:rPr>
            <w:t>（四）绩效目标设置情况</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_Toc13569 \h </w:instrText>
          </w:r>
          <w:r>
            <w:rPr>
              <w:rFonts w:hint="eastAsia" w:ascii="宋体" w:hAnsi="宋体" w:eastAsia="宋体" w:cs="宋体"/>
              <w:sz w:val="30"/>
              <w:szCs w:val="30"/>
            </w:rPr>
            <w:fldChar w:fldCharType="separate"/>
          </w:r>
          <w:r>
            <w:rPr>
              <w:rFonts w:hint="eastAsia" w:ascii="宋体" w:hAnsi="宋体" w:eastAsia="宋体" w:cs="宋体"/>
              <w:sz w:val="30"/>
              <w:szCs w:val="30"/>
            </w:rPr>
            <w:t>8</w:t>
          </w:r>
          <w:r>
            <w:rPr>
              <w:rFonts w:hint="eastAsia" w:ascii="宋体" w:hAnsi="宋体" w:eastAsia="宋体" w:cs="宋体"/>
              <w:sz w:val="30"/>
              <w:szCs w:val="30"/>
            </w:rPr>
            <w:fldChar w:fldCharType="end"/>
          </w:r>
          <w:r>
            <w:rPr>
              <w:rFonts w:hint="eastAsia" w:ascii="宋体" w:hAnsi="宋体" w:eastAsia="宋体" w:cs="宋体"/>
              <w:sz w:val="30"/>
              <w:szCs w:val="30"/>
              <w:lang w:val="en-US" w:eastAsia="zh-CN"/>
            </w:rPr>
            <w:fldChar w:fldCharType="end"/>
          </w:r>
        </w:p>
        <w:p>
          <w:pPr>
            <w:pStyle w:val="17"/>
            <w:keepNext w:val="0"/>
            <w:keepLines w:val="0"/>
            <w:pageBreakBefore w:val="0"/>
            <w:widowControl/>
            <w:tabs>
              <w:tab w:val="right" w:leader="dot" w:pos="8845"/>
            </w:tabs>
            <w:kinsoku/>
            <w:wordWrap/>
            <w:overflowPunct/>
            <w:topLinePunct w:val="0"/>
            <w:autoSpaceDE/>
            <w:autoSpaceDN/>
            <w:bidi w:val="0"/>
            <w:adjustRightInd/>
            <w:snapToGrid/>
            <w:spacing w:line="480" w:lineRule="exact"/>
            <w:textAlignment w:val="auto"/>
            <w:rPr>
              <w:rFonts w:hint="eastAsia" w:ascii="黑体" w:hAnsi="黑体" w:eastAsia="黑体" w:cs="黑体"/>
              <w:sz w:val="32"/>
              <w:szCs w:val="32"/>
              <w:lang w:val="en-US" w:eastAsia="zh-CN"/>
            </w:rPr>
          </w:pPr>
          <w:r>
            <w:rPr>
              <w:rFonts w:hint="eastAsia" w:ascii="宋体" w:hAnsi="宋体" w:eastAsia="宋体" w:cs="宋体"/>
              <w:b/>
              <w:sz w:val="30"/>
              <w:szCs w:val="30"/>
              <w:lang w:val="en-US" w:eastAsia="zh-CN"/>
            </w:rPr>
            <w:fldChar w:fldCharType="begin"/>
          </w:r>
          <w:r>
            <w:rPr>
              <w:rFonts w:hint="eastAsia" w:ascii="宋体" w:hAnsi="宋体" w:eastAsia="宋体" w:cs="宋体"/>
              <w:b/>
              <w:sz w:val="30"/>
              <w:szCs w:val="30"/>
              <w:lang w:val="en-US" w:eastAsia="zh-CN"/>
            </w:rPr>
            <w:instrText xml:space="preserve"> HYPERLINK \l _Toc11809 </w:instrText>
          </w:r>
          <w:r>
            <w:rPr>
              <w:rFonts w:hint="eastAsia" w:ascii="宋体" w:hAnsi="宋体" w:eastAsia="宋体" w:cs="宋体"/>
              <w:b/>
              <w:sz w:val="30"/>
              <w:szCs w:val="30"/>
              <w:lang w:val="en-US" w:eastAsia="zh-CN"/>
            </w:rPr>
            <w:fldChar w:fldCharType="separate"/>
          </w:r>
          <w:r>
            <w:rPr>
              <w:rFonts w:hint="eastAsia" w:ascii="宋体" w:hAnsi="宋体" w:eastAsia="宋体" w:cs="宋体"/>
              <w:b/>
              <w:bCs/>
              <w:sz w:val="30"/>
              <w:szCs w:val="30"/>
              <w:lang w:val="en-US" w:eastAsia="zh-CN"/>
            </w:rPr>
            <w:t>十一、名词解释</w:t>
          </w:r>
          <w:r>
            <w:rPr>
              <w:rFonts w:hint="eastAsia" w:ascii="宋体" w:hAnsi="宋体" w:eastAsia="宋体" w:cs="宋体"/>
              <w:b/>
              <w:sz w:val="30"/>
              <w:szCs w:val="30"/>
            </w:rPr>
            <w:tab/>
          </w:r>
          <w:r>
            <w:rPr>
              <w:rFonts w:hint="eastAsia" w:ascii="宋体" w:hAnsi="宋体" w:eastAsia="宋体" w:cs="宋体"/>
              <w:b/>
              <w:sz w:val="30"/>
              <w:szCs w:val="30"/>
            </w:rPr>
            <w:fldChar w:fldCharType="begin"/>
          </w:r>
          <w:r>
            <w:rPr>
              <w:rFonts w:hint="eastAsia" w:ascii="宋体" w:hAnsi="宋体" w:eastAsia="宋体" w:cs="宋体"/>
              <w:b/>
              <w:sz w:val="30"/>
              <w:szCs w:val="30"/>
            </w:rPr>
            <w:instrText xml:space="preserve"> PAGEREF _Toc11809 \h </w:instrText>
          </w:r>
          <w:r>
            <w:rPr>
              <w:rFonts w:hint="eastAsia" w:ascii="宋体" w:hAnsi="宋体" w:eastAsia="宋体" w:cs="宋体"/>
              <w:b/>
              <w:sz w:val="30"/>
              <w:szCs w:val="30"/>
            </w:rPr>
            <w:fldChar w:fldCharType="separate"/>
          </w:r>
          <w:r>
            <w:rPr>
              <w:rFonts w:hint="eastAsia" w:ascii="宋体" w:hAnsi="宋体" w:eastAsia="宋体" w:cs="宋体"/>
              <w:b/>
              <w:sz w:val="30"/>
              <w:szCs w:val="30"/>
            </w:rPr>
            <w:t>8</w:t>
          </w:r>
          <w:r>
            <w:rPr>
              <w:rFonts w:hint="eastAsia" w:ascii="宋体" w:hAnsi="宋体" w:eastAsia="宋体" w:cs="宋体"/>
              <w:b/>
              <w:sz w:val="30"/>
              <w:szCs w:val="30"/>
            </w:rPr>
            <w:fldChar w:fldCharType="end"/>
          </w:r>
          <w:r>
            <w:rPr>
              <w:rFonts w:hint="eastAsia" w:ascii="宋体" w:hAnsi="宋体" w:eastAsia="宋体" w:cs="宋体"/>
              <w:b/>
              <w:sz w:val="30"/>
              <w:szCs w:val="30"/>
              <w:lang w:val="en-US" w:eastAsia="zh-CN"/>
            </w:rPr>
            <w:fldChar w:fldCharType="end"/>
          </w:r>
          <w:r>
            <w:rPr>
              <w:rFonts w:hint="eastAsia" w:ascii="黑体" w:hAnsi="黑体" w:eastAsia="黑体" w:cs="黑体"/>
              <w:b/>
              <w:szCs w:val="32"/>
              <w:lang w:val="en-US" w:eastAsia="zh-CN"/>
            </w:rPr>
            <w:fldChar w:fldCharType="end"/>
          </w:r>
          <w:bookmarkEnd w:id="26"/>
        </w:p>
      </w:sdtContent>
    </w:sdt>
    <w:p>
      <w:pPr>
        <w:pStyle w:val="3"/>
        <w:keepNext/>
        <w:keepLines/>
        <w:pageBreakBefore w:val="0"/>
        <w:widowControl w:val="0"/>
        <w:kinsoku/>
        <w:wordWrap/>
        <w:overflowPunct/>
        <w:topLinePunct w:val="0"/>
        <w:autoSpaceDE/>
        <w:autoSpaceDN/>
        <w:bidi w:val="0"/>
        <w:adjustRightInd/>
        <w:snapToGrid/>
        <w:spacing w:before="0" w:beforeLines="0" w:after="0" w:afterLines="0" w:line="576" w:lineRule="exact"/>
        <w:ind w:firstLine="640" w:firstLineChars="200"/>
        <w:textAlignment w:val="auto"/>
        <w:rPr>
          <w:rFonts w:hint="eastAsia" w:ascii="黑体" w:hAnsi="黑体" w:eastAsia="黑体" w:cs="黑体"/>
          <w:b w:val="0"/>
          <w:bCs/>
          <w:sz w:val="32"/>
          <w:szCs w:val="32"/>
          <w:lang w:val="en-US" w:eastAsia="zh-CN"/>
        </w:rPr>
        <w:sectPr>
          <w:footerReference r:id="rId3" w:type="default"/>
          <w:pgSz w:w="11906" w:h="16838"/>
          <w:pgMar w:top="2098" w:right="1474" w:bottom="1984" w:left="1587" w:header="720" w:footer="1559" w:gutter="0"/>
          <w:pgNumType w:fmt="decimal" w:start="1"/>
          <w:cols w:space="720" w:num="1"/>
          <w:docGrid w:type="lines" w:linePitch="312" w:charSpace="0"/>
        </w:sectPr>
      </w:pPr>
      <w:bookmarkStart w:id="1" w:name="_Toc7529"/>
    </w:p>
    <w:p>
      <w:pPr>
        <w:pStyle w:val="3"/>
        <w:keepNext/>
        <w:keepLines/>
        <w:pageBreakBefore w:val="0"/>
        <w:widowControl w:val="0"/>
        <w:kinsoku/>
        <w:wordWrap/>
        <w:overflowPunct/>
        <w:topLinePunct w:val="0"/>
        <w:autoSpaceDE/>
        <w:autoSpaceDN/>
        <w:bidi w:val="0"/>
        <w:adjustRightInd/>
        <w:snapToGrid/>
        <w:spacing w:before="0" w:beforeLines="0" w:after="0" w:afterLines="0" w:line="576"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一、基本职能及主要工作</w:t>
      </w:r>
      <w:bookmarkEnd w:id="1"/>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楷体_GB2312" w:hAnsi="楷体_GB2312" w:eastAsia="楷体_GB2312" w:cs="楷体_GB2312"/>
          <w:b w:val="0"/>
          <w:bCs/>
          <w:sz w:val="32"/>
          <w:szCs w:val="32"/>
        </w:rPr>
      </w:pPr>
      <w:bookmarkStart w:id="2" w:name="_Toc4288"/>
      <w:r>
        <w:rPr>
          <w:rFonts w:hint="eastAsia" w:ascii="楷体_GB2312" w:hAnsi="楷体_GB2312" w:eastAsia="楷体_GB2312" w:cs="楷体_GB2312"/>
          <w:b w:val="0"/>
          <w:bCs/>
          <w:sz w:val="32"/>
          <w:szCs w:val="32"/>
        </w:rPr>
        <w:t>（一）</w:t>
      </w:r>
      <w:r>
        <w:rPr>
          <w:rFonts w:hint="eastAsia" w:ascii="楷体_GB2312" w:hAnsi="楷体_GB2312" w:eastAsia="楷体_GB2312" w:cs="楷体_GB2312"/>
          <w:b w:val="0"/>
          <w:bCs/>
          <w:sz w:val="32"/>
          <w:szCs w:val="32"/>
          <w:lang w:val="en-US" w:eastAsia="zh-CN"/>
        </w:rPr>
        <w:t>广元市文化市场综合行政执法支队</w:t>
      </w:r>
      <w:r>
        <w:rPr>
          <w:rFonts w:hint="eastAsia" w:ascii="楷体_GB2312" w:hAnsi="楷体_GB2312" w:eastAsia="楷体_GB2312" w:cs="楷体_GB2312"/>
          <w:b w:val="0"/>
          <w:bCs/>
          <w:sz w:val="32"/>
          <w:szCs w:val="32"/>
        </w:rPr>
        <w:t>职能简介</w:t>
      </w:r>
      <w:bookmarkEnd w:id="2"/>
    </w:p>
    <w:p>
      <w:pPr>
        <w:keepNext w:val="0"/>
        <w:keepLines w:val="0"/>
        <w:pageBreakBefore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val="en-US" w:eastAsia="zh-CN"/>
        </w:rPr>
        <w:t>1.</w:t>
      </w:r>
      <w:r>
        <w:rPr>
          <w:rFonts w:hint="eastAsia" w:ascii="仿宋_GB2312" w:hAnsi="仿宋_GB2312" w:eastAsia="仿宋_GB2312" w:cs="仿宋_GB2312"/>
          <w:bCs/>
          <w:color w:val="000000"/>
          <w:sz w:val="32"/>
          <w:szCs w:val="32"/>
        </w:rPr>
        <w:t>贯彻执行国家、省、市的相关法律法规规章及其他规范性文件。</w:t>
      </w:r>
    </w:p>
    <w:p>
      <w:pPr>
        <w:keepNext w:val="0"/>
        <w:keepLines w:val="0"/>
        <w:pageBreakBefore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val="en-US" w:eastAsia="zh-CN"/>
        </w:rPr>
        <w:t>2.</w:t>
      </w:r>
      <w:r>
        <w:rPr>
          <w:rFonts w:hint="eastAsia" w:ascii="仿宋_GB2312" w:hAnsi="仿宋_GB2312" w:eastAsia="仿宋_GB2312" w:cs="仿宋_GB2312"/>
          <w:bCs/>
          <w:color w:val="000000"/>
          <w:sz w:val="32"/>
          <w:szCs w:val="32"/>
        </w:rPr>
        <w:t>依法查处娱乐场所、演出、互联网上网服务经营场所、艺术品经营及进出口、文物、网络文化、社会艺术水平考级等经营活动及公共文化服务中的违法违规行为。</w:t>
      </w:r>
    </w:p>
    <w:p>
      <w:pPr>
        <w:keepNext w:val="0"/>
        <w:keepLines w:val="0"/>
        <w:pageBreakBefore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val="en-US" w:eastAsia="zh-CN"/>
        </w:rPr>
        <w:t>3.</w:t>
      </w:r>
      <w:r>
        <w:rPr>
          <w:rFonts w:hint="eastAsia" w:ascii="仿宋_GB2312" w:hAnsi="仿宋_GB2312" w:eastAsia="仿宋_GB2312" w:cs="仿宋_GB2312"/>
          <w:bCs/>
          <w:color w:val="000000"/>
          <w:sz w:val="32"/>
          <w:szCs w:val="32"/>
        </w:rPr>
        <w:t>依法查处广播电视、电影、网络视听等经营活动中的违法违规行为。</w:t>
      </w:r>
    </w:p>
    <w:p>
      <w:pPr>
        <w:keepNext w:val="0"/>
        <w:keepLines w:val="0"/>
        <w:pageBreakBefore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val="en-US" w:eastAsia="zh-CN"/>
        </w:rPr>
        <w:t>4.</w:t>
      </w:r>
      <w:r>
        <w:rPr>
          <w:rFonts w:hint="eastAsia" w:ascii="仿宋_GB2312" w:hAnsi="仿宋_GB2312" w:eastAsia="仿宋_GB2312" w:cs="仿宋_GB2312"/>
          <w:bCs/>
          <w:color w:val="000000"/>
          <w:sz w:val="32"/>
          <w:szCs w:val="32"/>
        </w:rPr>
        <w:t>依法查处新闻出版、版权、网络出版发行等经营活动中的违法违规行为;承担“扫黄打非”有关工作任务。</w:t>
      </w:r>
    </w:p>
    <w:p>
      <w:pPr>
        <w:keepNext w:val="0"/>
        <w:keepLines w:val="0"/>
        <w:pageBreakBefore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val="en-US" w:eastAsia="zh-CN"/>
        </w:rPr>
        <w:t>5.</w:t>
      </w:r>
      <w:r>
        <w:rPr>
          <w:rFonts w:hint="eastAsia" w:ascii="仿宋_GB2312" w:hAnsi="仿宋_GB2312" w:eastAsia="仿宋_GB2312" w:cs="仿宋_GB2312"/>
          <w:bCs/>
          <w:color w:val="000000"/>
          <w:sz w:val="32"/>
          <w:szCs w:val="32"/>
        </w:rPr>
        <w:t>依法查处旅游经营行业和旅游从业人员等经营活动中的违法违规行为;处理市内重大文化旅游投诉和上级交办的投诉案件,受理全市旅行社质量保证金的理赔请求和旅行社质保金理赔的申诉。</w:t>
      </w:r>
    </w:p>
    <w:p>
      <w:pPr>
        <w:keepNext w:val="0"/>
        <w:keepLines w:val="0"/>
        <w:pageBreakBefore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val="en-US" w:eastAsia="zh-CN"/>
        </w:rPr>
        <w:t>6.</w:t>
      </w:r>
      <w:r>
        <w:rPr>
          <w:rFonts w:hint="eastAsia" w:ascii="仿宋_GB2312" w:hAnsi="仿宋_GB2312" w:eastAsia="仿宋_GB2312" w:cs="仿宋_GB2312"/>
          <w:bCs/>
          <w:color w:val="000000"/>
          <w:sz w:val="32"/>
          <w:szCs w:val="32"/>
        </w:rPr>
        <w:t>依法查处互联网有害信息等经营活动的违法违规经营行为;查处体育经营活动的违法违规经营行为;配合查处生产、销售、使用“伪基站”设备的违法违规行为。</w:t>
      </w:r>
    </w:p>
    <w:p>
      <w:pPr>
        <w:keepNext w:val="0"/>
        <w:keepLines w:val="0"/>
        <w:pageBreakBefore w:val="0"/>
        <w:kinsoku/>
        <w:wordWrap/>
        <w:overflowPunct/>
        <w:topLinePunct w:val="0"/>
        <w:autoSpaceDE/>
        <w:autoSpaceDN/>
        <w:bidi w:val="0"/>
        <w:adjustRightInd/>
        <w:snapToGrid/>
        <w:spacing w:line="576" w:lineRule="exact"/>
        <w:ind w:firstLine="640" w:firstLineChars="200"/>
        <w:jc w:val="left"/>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bCs/>
          <w:color w:val="000000"/>
          <w:sz w:val="32"/>
          <w:szCs w:val="32"/>
          <w:lang w:val="en-US" w:eastAsia="zh-CN"/>
        </w:rPr>
        <w:t>7.</w:t>
      </w:r>
      <w:r>
        <w:rPr>
          <w:rFonts w:hint="eastAsia" w:ascii="仿宋_GB2312" w:hAnsi="仿宋_GB2312" w:eastAsia="仿宋_GB2312" w:cs="仿宋_GB2312"/>
          <w:bCs/>
          <w:color w:val="000000"/>
          <w:sz w:val="32"/>
          <w:szCs w:val="32"/>
        </w:rPr>
        <w:t>负责上级督办案件,跨区域重大违法违规案件的查处;负责全市文化市场综合行政执法工作的指导、检查、监督、考核等。</w:t>
      </w:r>
    </w:p>
    <w:p>
      <w:pPr>
        <w:keepNext w:val="0"/>
        <w:keepLines w:val="0"/>
        <w:pageBreakBefore w:val="0"/>
        <w:kinsoku/>
        <w:wordWrap/>
        <w:overflowPunct/>
        <w:topLinePunct w:val="0"/>
        <w:autoSpaceDE/>
        <w:autoSpaceDN/>
        <w:bidi w:val="0"/>
        <w:adjustRightInd/>
        <w:snapToGrid/>
        <w:spacing w:line="576" w:lineRule="exact"/>
        <w:ind w:firstLine="640" w:firstLineChars="200"/>
        <w:jc w:val="left"/>
        <w:textAlignment w:val="auto"/>
        <w:rPr>
          <w:rFonts w:hint="eastAsia" w:ascii="楷体_GB2312" w:hAnsi="楷体_GB2312" w:eastAsia="楷体_GB2312" w:cs="楷体_GB2312"/>
          <w:sz w:val="32"/>
          <w:szCs w:val="32"/>
        </w:rPr>
      </w:pPr>
      <w:r>
        <w:rPr>
          <w:rFonts w:hint="eastAsia" w:ascii="仿宋_GB2312" w:hAnsi="仿宋_GB2312" w:eastAsia="仿宋_GB2312" w:cs="仿宋_GB2312"/>
          <w:bCs/>
          <w:color w:val="000000"/>
          <w:sz w:val="32"/>
          <w:szCs w:val="32"/>
          <w:lang w:val="en-US" w:eastAsia="zh-CN"/>
        </w:rPr>
        <w:t>8.</w:t>
      </w:r>
      <w:r>
        <w:rPr>
          <w:rFonts w:hint="eastAsia" w:ascii="仿宋_GB2312" w:hAnsi="仿宋_GB2312" w:eastAsia="仿宋_GB2312" w:cs="仿宋_GB2312"/>
          <w:bCs/>
          <w:color w:val="000000"/>
          <w:sz w:val="32"/>
          <w:szCs w:val="32"/>
        </w:rPr>
        <w:t>承办上级交办的其他工作任务。</w:t>
      </w:r>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楷体_GB2312" w:hAnsi="楷体_GB2312" w:eastAsia="楷体_GB2312" w:cs="楷体_GB2312"/>
          <w:b w:val="0"/>
          <w:bCs/>
          <w:sz w:val="32"/>
          <w:szCs w:val="32"/>
        </w:rPr>
      </w:pPr>
      <w:bookmarkStart w:id="3" w:name="_Toc13921"/>
      <w:r>
        <w:rPr>
          <w:rFonts w:hint="eastAsia" w:ascii="楷体_GB2312" w:hAnsi="楷体_GB2312" w:eastAsia="楷体_GB2312" w:cs="楷体_GB2312"/>
          <w:b w:val="0"/>
          <w:bCs/>
          <w:sz w:val="32"/>
          <w:szCs w:val="32"/>
        </w:rPr>
        <w:t>（二）</w:t>
      </w:r>
      <w:r>
        <w:rPr>
          <w:rFonts w:hint="eastAsia" w:ascii="楷体_GB2312" w:hAnsi="楷体_GB2312" w:eastAsia="楷体_GB2312" w:cs="楷体_GB2312"/>
          <w:b w:val="0"/>
          <w:bCs/>
          <w:sz w:val="32"/>
          <w:szCs w:val="32"/>
          <w:lang w:val="en-US" w:eastAsia="zh-CN"/>
        </w:rPr>
        <w:t>广元市文化市场综合行政执法支队</w:t>
      </w:r>
      <w:r>
        <w:rPr>
          <w:rFonts w:hint="eastAsia" w:ascii="楷体_GB2312" w:hAnsi="楷体_GB2312" w:eastAsia="楷体_GB2312" w:cs="楷体_GB2312"/>
          <w:b w:val="0"/>
          <w:bCs/>
          <w:sz w:val="32"/>
          <w:szCs w:val="32"/>
          <w:lang w:val="en-US"/>
        </w:rPr>
        <w:t>2024</w:t>
      </w:r>
      <w:r>
        <w:rPr>
          <w:rFonts w:hint="eastAsia" w:ascii="楷体_GB2312" w:hAnsi="楷体_GB2312" w:eastAsia="楷体_GB2312" w:cs="楷体_GB2312"/>
          <w:b w:val="0"/>
          <w:bCs/>
          <w:sz w:val="32"/>
          <w:szCs w:val="32"/>
        </w:rPr>
        <w:t>年重点工作</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iCs w:val="0"/>
          <w:color w:val="000000"/>
          <w:sz w:val="32"/>
          <w:szCs w:val="32"/>
          <w:u w:val="none"/>
          <w:lang w:val="en-US" w:eastAsia="zh-CN"/>
        </w:rPr>
      </w:pPr>
      <w:r>
        <w:rPr>
          <w:rFonts w:hint="eastAsia" w:ascii="仿宋_GB2312" w:hAnsi="仿宋_GB2312" w:eastAsia="仿宋_GB2312" w:cs="仿宋_GB2312"/>
          <w:i w:val="0"/>
          <w:iCs w:val="0"/>
          <w:color w:val="000000"/>
          <w:sz w:val="32"/>
          <w:szCs w:val="32"/>
          <w:u w:val="none"/>
          <w:lang w:val="en-US" w:eastAsia="zh-CN"/>
        </w:rPr>
        <w:t>1、完成相关政策修订征求意见、起草调研工作。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iCs w:val="0"/>
          <w:color w:val="000000"/>
          <w:sz w:val="32"/>
          <w:szCs w:val="32"/>
          <w:u w:val="none"/>
          <w:lang w:val="en-US" w:eastAsia="zh-CN"/>
        </w:rPr>
      </w:pPr>
      <w:r>
        <w:rPr>
          <w:rFonts w:hint="eastAsia" w:ascii="仿宋_GB2312" w:hAnsi="仿宋_GB2312" w:eastAsia="仿宋_GB2312" w:cs="仿宋_GB2312"/>
          <w:i w:val="0"/>
          <w:iCs w:val="0"/>
          <w:color w:val="000000"/>
          <w:sz w:val="32"/>
          <w:szCs w:val="32"/>
          <w:u w:val="none"/>
          <w:lang w:val="en-US" w:eastAsia="zh-CN"/>
        </w:rPr>
        <w:t>2、开展“以案施训”，查办重大案件，申报全省文化市场综合执法典型案例；探索建立全市文化市场执法监督工作提醒建议制度。</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iCs w:val="0"/>
          <w:color w:val="000000"/>
          <w:sz w:val="32"/>
          <w:szCs w:val="32"/>
          <w:u w:val="none"/>
          <w:lang w:val="en-US" w:eastAsia="zh-CN"/>
        </w:rPr>
      </w:pPr>
      <w:r>
        <w:rPr>
          <w:rFonts w:hint="eastAsia" w:ascii="仿宋_GB2312" w:hAnsi="仿宋_GB2312" w:eastAsia="仿宋_GB2312" w:cs="仿宋_GB2312"/>
          <w:i w:val="0"/>
          <w:iCs w:val="0"/>
          <w:color w:val="000000"/>
          <w:sz w:val="32"/>
          <w:szCs w:val="32"/>
          <w:u w:val="none"/>
          <w:lang w:val="en-US" w:eastAsia="zh-CN"/>
        </w:rPr>
        <w:t>3、开展全市技能练兵，参加全省文化市场综合执法岗位练兵技能竞赛活动；开展全市案件质量评查活动，参评全省文化市场综合执法重大案件；开展侵权盗版及非法出版物集中销毁活动；参加全省文化市场综合执法集中办案活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i w:val="0"/>
          <w:iCs w:val="0"/>
          <w:color w:val="000000"/>
          <w:sz w:val="32"/>
          <w:szCs w:val="32"/>
          <w:u w:val="none"/>
          <w:lang w:val="en-US" w:eastAsia="zh-CN"/>
        </w:rPr>
      </w:pPr>
      <w:r>
        <w:rPr>
          <w:rFonts w:hint="eastAsia" w:ascii="仿宋_GB2312" w:hAnsi="仿宋_GB2312" w:eastAsia="仿宋_GB2312" w:cs="仿宋_GB2312"/>
          <w:b w:val="0"/>
          <w:bCs w:val="0"/>
          <w:i w:val="0"/>
          <w:iCs w:val="0"/>
          <w:color w:val="000000"/>
          <w:sz w:val="32"/>
          <w:szCs w:val="32"/>
          <w:u w:val="none"/>
          <w:lang w:val="en-US" w:eastAsia="zh-CN"/>
        </w:rPr>
        <w:t>8、开展“法治大讲堂”、“法治小课堂”、全市执法业务培训；开展旅行社从业人员法律法规培训；开展旅游市场行政执法实务培训；参加全省文化市场综合执法监督队伍专项培训、全省文化市场执法师资暨执法骨干培训、全省文化市场综合执法法律法规实务（系列）培训。</w:t>
      </w:r>
    </w:p>
    <w:p>
      <w:pPr>
        <w:pStyle w:val="2"/>
        <w:pageBreakBefore w:val="0"/>
        <w:kinsoku/>
        <w:wordWrap/>
        <w:overflowPunct/>
        <w:topLinePunct w:val="0"/>
        <w:autoSpaceDE/>
        <w:autoSpaceDN/>
        <w:bidi w:val="0"/>
        <w:adjustRightInd/>
        <w:snapToGrid/>
        <w:spacing w:line="576" w:lineRule="exact"/>
        <w:ind w:firstLine="632" w:firstLineChars="200"/>
        <w:textAlignment w:val="auto"/>
        <w:rPr>
          <w:rFonts w:hint="eastAsia" w:ascii="仿宋_GB2312" w:hAnsi="仿宋_GB2312" w:eastAsia="仿宋_GB2312" w:cs="仿宋_GB2312"/>
          <w:i w:val="0"/>
          <w:iCs w:val="0"/>
          <w:color w:val="000000"/>
          <w:sz w:val="32"/>
          <w:szCs w:val="32"/>
          <w:u w:val="none"/>
          <w:lang w:val="en-US" w:eastAsia="zh-CN"/>
        </w:rPr>
      </w:pPr>
      <w:r>
        <w:rPr>
          <w:rFonts w:hint="eastAsia" w:ascii="仿宋_GB2312" w:hAnsi="仿宋_GB2312" w:eastAsia="仿宋_GB2312" w:cs="仿宋_GB2312"/>
          <w:i w:val="0"/>
          <w:iCs w:val="0"/>
          <w:color w:val="000000"/>
          <w:sz w:val="32"/>
          <w:szCs w:val="32"/>
          <w:u w:val="none"/>
          <w:lang w:val="en-US" w:eastAsia="zh-CN"/>
        </w:rPr>
        <w:t>5、开展高危险性体育项目（游泳馆）应急演练；开展网吧、娱乐场所消防应急演练活动。</w:t>
      </w:r>
    </w:p>
    <w:p>
      <w:pPr>
        <w:pageBreakBefore w:val="0"/>
        <w:kinsoku/>
        <w:wordWrap/>
        <w:overflowPunct/>
        <w:topLinePunct w:val="0"/>
        <w:autoSpaceDE/>
        <w:autoSpaceDN/>
        <w:bidi w:val="0"/>
        <w:adjustRightInd/>
        <w:snapToGrid/>
        <w:spacing w:line="576" w:lineRule="exact"/>
        <w:ind w:firstLine="560"/>
        <w:textAlignment w:val="auto"/>
        <w:rPr>
          <w:rFonts w:hint="eastAsia" w:ascii="仿宋_GB2312" w:hAnsi="仿宋_GB2312" w:eastAsia="仿宋_GB2312" w:cs="仿宋_GB2312"/>
          <w:b w:val="0"/>
          <w:bCs w:val="0"/>
          <w:i w:val="0"/>
          <w:iCs w:val="0"/>
          <w:color w:val="000000"/>
          <w:sz w:val="32"/>
          <w:szCs w:val="32"/>
          <w:u w:val="none"/>
          <w:lang w:val="en-US" w:eastAsia="zh-CN"/>
        </w:rPr>
      </w:pPr>
      <w:r>
        <w:rPr>
          <w:rFonts w:hint="eastAsia" w:ascii="仿宋_GB2312" w:hAnsi="仿宋_GB2312" w:eastAsia="仿宋_GB2312" w:cs="仿宋_GB2312"/>
          <w:i w:val="0"/>
          <w:iCs w:val="0"/>
          <w:color w:val="000000"/>
          <w:sz w:val="32"/>
          <w:szCs w:val="32"/>
          <w:u w:val="none"/>
          <w:lang w:val="en-US" w:eastAsia="zh-CN"/>
        </w:rPr>
        <w:t>6、开展社会艺术水平考级专项整治；开展广播电视领域专项整治；开展网络出版发行市场巡查；开展电竞酒店违规接纳未成年人专项整治；开展网吧、娱乐场所违规接纳未成年人专项整治；开展营业性演出和票务市场专项整治；</w:t>
      </w:r>
      <w:r>
        <w:rPr>
          <w:rFonts w:hint="eastAsia" w:ascii="仿宋_GB2312" w:hAnsi="仿宋_GB2312" w:eastAsia="仿宋_GB2312" w:cs="仿宋_GB2312"/>
          <w:b w:val="0"/>
          <w:bCs w:val="0"/>
          <w:i w:val="0"/>
          <w:iCs w:val="0"/>
          <w:color w:val="000000"/>
          <w:sz w:val="32"/>
          <w:szCs w:val="32"/>
          <w:u w:val="none"/>
          <w:lang w:val="en-US" w:eastAsia="zh-CN"/>
        </w:rPr>
        <w:t>开展不合理低价游、未经许可经营旅行社业务专项整治；开展导游强迫或变相强迫购物、兜售物品、未经旅行社委派开展导游活动专项整治；开展旅行社服务网点未经设立社授权超范围经营专项整治。</w:t>
      </w:r>
    </w:p>
    <w:p>
      <w:pPr>
        <w:pStyle w:val="2"/>
        <w:pageBreakBefore w:val="0"/>
        <w:kinsoku/>
        <w:wordWrap/>
        <w:overflowPunct/>
        <w:topLinePunct w:val="0"/>
        <w:autoSpaceDE/>
        <w:autoSpaceDN/>
        <w:bidi w:val="0"/>
        <w:adjustRightInd/>
        <w:snapToGrid/>
        <w:spacing w:line="576" w:lineRule="exact"/>
        <w:ind w:firstLine="560"/>
        <w:textAlignment w:val="auto"/>
        <w:rPr>
          <w:rFonts w:hint="eastAsia" w:ascii="仿宋_GB2312" w:hAnsi="仿宋_GB2312" w:eastAsia="仿宋_GB2312" w:cs="仿宋_GB2312"/>
          <w:b w:val="0"/>
          <w:bCs w:val="0"/>
          <w:i w:val="0"/>
          <w:iCs w:val="0"/>
          <w:color w:val="000000"/>
          <w:sz w:val="32"/>
          <w:szCs w:val="32"/>
          <w:u w:val="none"/>
          <w:lang w:val="en-US"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b w:val="0"/>
          <w:bCs w:val="0"/>
          <w:i w:val="0"/>
          <w:iCs w:val="0"/>
          <w:color w:val="000000"/>
          <w:sz w:val="32"/>
          <w:szCs w:val="32"/>
          <w:u w:val="none"/>
          <w:lang w:val="en-US" w:eastAsia="zh-CN"/>
        </w:rPr>
        <w:t>组织2024年全市市级以上文物保护单位执法巡查工作；开展宗教活动场所类文物保护单位专项巡查工作；开展文物保护单位现状摸排工作。</w:t>
      </w:r>
    </w:p>
    <w:p>
      <w:pPr>
        <w:pageBreakBefore w:val="0"/>
        <w:kinsoku/>
        <w:wordWrap/>
        <w:overflowPunct/>
        <w:topLinePunct w:val="0"/>
        <w:autoSpaceDE/>
        <w:autoSpaceDN/>
        <w:bidi w:val="0"/>
        <w:adjustRightInd/>
        <w:snapToGrid/>
        <w:spacing w:line="576" w:lineRule="exact"/>
        <w:ind w:firstLine="560"/>
        <w:textAlignment w:val="auto"/>
        <w:rPr>
          <w:rFonts w:hint="eastAsia" w:ascii="仿宋_GB2312" w:hAnsi="仿宋_GB2312" w:eastAsia="仿宋_GB2312" w:cs="仿宋_GB2312"/>
          <w:b w:val="0"/>
          <w:bCs w:val="0"/>
          <w:i w:val="0"/>
          <w:iCs w:val="0"/>
          <w:color w:val="000000"/>
          <w:sz w:val="32"/>
          <w:szCs w:val="32"/>
          <w:u w:val="none"/>
          <w:lang w:val="en-US" w:eastAsia="zh-CN"/>
        </w:rPr>
      </w:pPr>
      <w:r>
        <w:rPr>
          <w:rFonts w:hint="eastAsia" w:ascii="仿宋_GB2312" w:hAnsi="仿宋_GB2312" w:eastAsia="仿宋_GB2312" w:cs="仿宋_GB2312"/>
          <w:b w:val="0"/>
          <w:bCs w:val="0"/>
          <w:i w:val="0"/>
          <w:iCs w:val="0"/>
          <w:color w:val="000000"/>
          <w:sz w:val="32"/>
          <w:szCs w:val="32"/>
          <w:u w:val="none"/>
          <w:lang w:val="en-US" w:eastAsia="zh-CN"/>
        </w:rPr>
        <w:t>8、梳理文物、旅游行政处罚案件，撰写典型案例及适用减轻、从轻、不予处罚案例。</w:t>
      </w:r>
    </w:p>
    <w:p>
      <w:pPr>
        <w:pStyle w:val="2"/>
        <w:keepNext w:val="0"/>
        <w:keepLines w:val="0"/>
        <w:pageBreakBefore w:val="0"/>
        <w:widowControl w:val="0"/>
        <w:kinsoku/>
        <w:wordWrap/>
        <w:overflowPunct/>
        <w:topLinePunct w:val="0"/>
        <w:autoSpaceDE/>
        <w:autoSpaceDN/>
        <w:bidi w:val="0"/>
        <w:adjustRightInd/>
        <w:snapToGrid/>
        <w:spacing w:line="576" w:lineRule="exact"/>
        <w:ind w:firstLine="632" w:firstLineChars="200"/>
        <w:textAlignment w:val="auto"/>
        <w:rPr>
          <w:rFonts w:hint="eastAsia" w:ascii="仿宋_GB2312" w:hAnsi="仿宋_GB2312" w:eastAsia="仿宋_GB2312" w:cs="仿宋_GB2312"/>
          <w:b w:val="0"/>
          <w:bCs w:val="0"/>
          <w:i w:val="0"/>
          <w:iCs w:val="0"/>
          <w:color w:val="000000"/>
          <w:sz w:val="32"/>
          <w:szCs w:val="32"/>
          <w:u w:val="none"/>
          <w:lang w:val="en-US" w:eastAsia="zh-CN"/>
        </w:rPr>
      </w:pPr>
      <w:r>
        <w:rPr>
          <w:rFonts w:hint="eastAsia" w:ascii="仿宋_GB2312" w:hAnsi="仿宋_GB2312" w:eastAsia="仿宋_GB2312" w:cs="仿宋_GB2312"/>
          <w:b w:val="0"/>
          <w:bCs w:val="0"/>
          <w:i w:val="0"/>
          <w:iCs w:val="0"/>
          <w:color w:val="000000"/>
          <w:sz w:val="32"/>
          <w:szCs w:val="32"/>
          <w:u w:val="none"/>
          <w:lang w:val="en-US" w:eastAsia="zh-CN"/>
        </w:rPr>
        <w:t>9、开展文物、旅游法律法规宣传。</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i w:val="0"/>
          <w:iCs w:val="0"/>
          <w:color w:val="000000"/>
          <w:sz w:val="32"/>
          <w:szCs w:val="32"/>
          <w:u w:val="none"/>
          <w:lang w:val="en-US" w:eastAsia="zh-CN"/>
        </w:rPr>
        <w:t>10、在重大活动、节假日期间开展文旅企业安全隐患排查、旅游包车专项检查。</w:t>
      </w:r>
    </w:p>
    <w:p>
      <w:pPr>
        <w:pStyle w:val="3"/>
        <w:keepNext/>
        <w:keepLines/>
        <w:pageBreakBefore w:val="0"/>
        <w:widowControl w:val="0"/>
        <w:kinsoku/>
        <w:wordWrap/>
        <w:overflowPunct/>
        <w:topLinePunct w:val="0"/>
        <w:autoSpaceDE/>
        <w:autoSpaceDN/>
        <w:bidi w:val="0"/>
        <w:adjustRightInd/>
        <w:snapToGrid/>
        <w:spacing w:before="0" w:beforeLines="0" w:after="0" w:afterLines="0" w:line="576" w:lineRule="exact"/>
        <w:ind w:firstLine="640" w:firstLineChars="200"/>
        <w:textAlignment w:val="auto"/>
        <w:rPr>
          <w:rFonts w:hint="eastAsia" w:ascii="黑体" w:hAnsi="黑体" w:eastAsia="黑体" w:cs="黑体"/>
          <w:b w:val="0"/>
          <w:bCs/>
          <w:sz w:val="32"/>
          <w:szCs w:val="32"/>
          <w:lang w:val="en-US" w:eastAsia="zh-CN"/>
        </w:rPr>
      </w:pPr>
      <w:bookmarkStart w:id="4" w:name="_Toc24191"/>
      <w:r>
        <w:rPr>
          <w:rFonts w:hint="eastAsia" w:ascii="黑体" w:hAnsi="黑体" w:eastAsia="黑体" w:cs="黑体"/>
          <w:b w:val="0"/>
          <w:bCs/>
          <w:sz w:val="32"/>
          <w:szCs w:val="32"/>
          <w:lang w:val="en-US" w:eastAsia="zh-CN"/>
        </w:rPr>
        <w:t>二、部门预算单位构成</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我单位为广元市文化广播电视和旅游局的下属二级预算单位，设有内设机构9个。</w:t>
      </w:r>
    </w:p>
    <w:p>
      <w:pPr>
        <w:pStyle w:val="3"/>
        <w:keepNext/>
        <w:keepLines/>
        <w:pageBreakBefore w:val="0"/>
        <w:widowControl w:val="0"/>
        <w:kinsoku/>
        <w:wordWrap/>
        <w:overflowPunct/>
        <w:topLinePunct w:val="0"/>
        <w:autoSpaceDE/>
        <w:autoSpaceDN/>
        <w:bidi w:val="0"/>
        <w:adjustRightInd/>
        <w:snapToGrid/>
        <w:spacing w:before="0" w:beforeLines="0" w:after="0" w:afterLines="0" w:line="576" w:lineRule="exact"/>
        <w:ind w:firstLine="640" w:firstLineChars="200"/>
        <w:textAlignment w:val="auto"/>
        <w:rPr>
          <w:rFonts w:hint="eastAsia" w:ascii="黑体" w:hAnsi="黑体" w:eastAsia="黑体" w:cs="黑体"/>
          <w:b w:val="0"/>
          <w:bCs/>
          <w:sz w:val="32"/>
          <w:szCs w:val="32"/>
          <w:lang w:val="en-US" w:eastAsia="zh-CN"/>
        </w:rPr>
      </w:pPr>
      <w:bookmarkStart w:id="5" w:name="_Toc4948"/>
      <w:r>
        <w:rPr>
          <w:rFonts w:hint="eastAsia" w:ascii="黑体" w:hAnsi="黑体" w:eastAsia="黑体" w:cs="黑体"/>
          <w:b w:val="0"/>
          <w:bCs/>
          <w:sz w:val="32"/>
          <w:szCs w:val="32"/>
          <w:lang w:val="en-US" w:eastAsia="zh-CN"/>
        </w:rPr>
        <w:t>三、收支预算情况说明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rPr>
      </w:pPr>
      <w:r>
        <w:rPr>
          <w:rFonts w:hint="eastAsia" w:ascii="仿宋_GB2312" w:hAnsi="仿宋_GB2312" w:eastAsia="仿宋_GB2312" w:cs="仿宋_GB2312"/>
          <w:sz w:val="32"/>
          <w:szCs w:val="32"/>
          <w:lang w:val="en-US" w:eastAsia="zh-CN"/>
        </w:rPr>
        <w:t>按照综合预算的原则，广元市文化市场综合行政执法支队所有收入和支出均纳入部门预算管理。收入包括：一般公共预算拨款收入；支出包括：文化旅游体育与传媒支出、社会保障和就业支出、卫生健康支出、住房保障支出。广元市文化市场综合行政执法支队2024年收支预算总数816.37万元,比2023年收支预算总数增加31.77万元，主要原因是基本支出增加56.33万元，项目支出减少24.56万元。基本支出增加的原因为因人员职务晋升导致工资福利支出增加，项目支出减少的原因为2024年度减少执法制服购置经费和执法车辆尾款购置经费一次性项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6" w:name="_Toc17591"/>
      <w:r>
        <w:rPr>
          <w:rFonts w:hint="eastAsia" w:ascii="楷体_GB2312" w:hAnsi="楷体_GB2312" w:eastAsia="楷体_GB2312" w:cs="楷体_GB2312"/>
          <w:sz w:val="32"/>
          <w:szCs w:val="32"/>
          <w:lang w:val="en-US" w:eastAsia="zh-CN"/>
        </w:rPr>
        <w:t>（一）收入预算情况</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广元市文化市场综合行政执法支队2024年收入预算816.37万元，其中：一般公共预算拨款收入816.37万元，占100%。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31383"/>
      <w:r>
        <w:rPr>
          <w:rFonts w:hint="eastAsia" w:ascii="楷体_GB2312" w:hAnsi="楷体_GB2312" w:eastAsia="楷体_GB2312" w:cs="楷体_GB2312"/>
          <w:sz w:val="32"/>
          <w:szCs w:val="32"/>
          <w:lang w:val="en-US" w:eastAsia="zh-CN"/>
        </w:rPr>
        <w:t>（二）支出预算情况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广元市文化市场综合行政执法支队2024年支出预算816.37万元，其中：基本支出756.71万元，占93%；项目支出59.66万元，占7%</w:t>
      </w:r>
      <w:r>
        <w:rPr>
          <w:rFonts w:hint="eastAsia" w:ascii="仿宋_GB2312" w:hAnsi="仿宋_GB2312" w:eastAsia="仿宋_GB2312" w:cs="仿宋_GB2312"/>
          <w:b w:val="0"/>
          <w:bCs w:val="0"/>
          <w:sz w:val="32"/>
          <w:szCs w:val="32"/>
          <w:lang w:val="en-US" w:eastAsia="zh-CN"/>
        </w:rPr>
        <w:t>。</w:t>
      </w:r>
    </w:p>
    <w:p>
      <w:pPr>
        <w:pStyle w:val="3"/>
        <w:keepNext/>
        <w:keepLines/>
        <w:pageBreakBefore w:val="0"/>
        <w:widowControl w:val="0"/>
        <w:kinsoku/>
        <w:wordWrap/>
        <w:overflowPunct/>
        <w:topLinePunct w:val="0"/>
        <w:autoSpaceDE/>
        <w:autoSpaceDN/>
        <w:bidi w:val="0"/>
        <w:adjustRightInd/>
        <w:snapToGrid/>
        <w:spacing w:before="0" w:beforeLines="0" w:after="0" w:afterLines="0" w:line="576" w:lineRule="exact"/>
        <w:ind w:firstLine="640" w:firstLineChars="200"/>
        <w:textAlignment w:val="auto"/>
        <w:rPr>
          <w:rFonts w:hint="eastAsia" w:ascii="黑体" w:hAnsi="黑体" w:eastAsia="黑体" w:cs="黑体"/>
          <w:b w:val="0"/>
          <w:bCs/>
          <w:sz w:val="32"/>
          <w:szCs w:val="32"/>
          <w:lang w:val="en-US" w:eastAsia="zh-CN"/>
        </w:rPr>
      </w:pPr>
      <w:bookmarkStart w:id="8" w:name="_Toc3534"/>
      <w:r>
        <w:rPr>
          <w:rFonts w:hint="eastAsia" w:ascii="黑体" w:hAnsi="黑体" w:eastAsia="黑体" w:cs="黑体"/>
          <w:b w:val="0"/>
          <w:bCs/>
          <w:sz w:val="32"/>
          <w:szCs w:val="32"/>
          <w:lang w:val="en-US" w:eastAsia="zh-CN"/>
        </w:rPr>
        <w:t>四、财政拨款收支预算情况说明</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文化市场综合行政执法支队2024年财政拨款收支预算总数816.37万元,比2023年财政拨款收支预算总数增加31.77万元，主要原因是基本支出增加56.33万元，项目支出减少24.56万元。基本支出增加的原因为因人员职务晋升导致工资福利支出增加，项目支出减少的原因为2024年度减少执法制服购置经费和执法车辆尾款购置经费一次性项目。</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收入包括：本年一般公共预算拨款收入816.37万元；支出包括：文化旅游体育与传媒支出664.23万元、社会保障和就业支出70.29万元、卫生健康支出22.72万元、住房保障支出59.14万元。</w:t>
      </w:r>
    </w:p>
    <w:p>
      <w:pPr>
        <w:pStyle w:val="3"/>
        <w:keepNext/>
        <w:keepLines/>
        <w:pageBreakBefore w:val="0"/>
        <w:widowControl w:val="0"/>
        <w:kinsoku/>
        <w:wordWrap/>
        <w:overflowPunct/>
        <w:topLinePunct w:val="0"/>
        <w:autoSpaceDE/>
        <w:autoSpaceDN/>
        <w:bidi w:val="0"/>
        <w:adjustRightInd/>
        <w:snapToGrid/>
        <w:spacing w:before="0" w:beforeLines="0" w:after="0" w:afterLines="0" w:line="576" w:lineRule="exact"/>
        <w:ind w:firstLine="640" w:firstLineChars="200"/>
        <w:textAlignment w:val="auto"/>
        <w:rPr>
          <w:rFonts w:hint="eastAsia" w:ascii="黑体" w:hAnsi="黑体" w:eastAsia="黑体" w:cs="黑体"/>
          <w:b w:val="0"/>
          <w:bCs/>
          <w:sz w:val="32"/>
          <w:szCs w:val="32"/>
          <w:lang w:val="en-US" w:eastAsia="zh-CN"/>
        </w:rPr>
      </w:pPr>
      <w:bookmarkStart w:id="9" w:name="_Toc15569"/>
      <w:r>
        <w:rPr>
          <w:rFonts w:hint="eastAsia" w:ascii="黑体" w:hAnsi="黑体" w:eastAsia="黑体" w:cs="黑体"/>
          <w:b w:val="0"/>
          <w:bCs/>
          <w:sz w:val="32"/>
          <w:szCs w:val="32"/>
          <w:lang w:val="en-US" w:eastAsia="zh-CN"/>
        </w:rPr>
        <w:t>五、一般公共预算当年拨款情况说明</w:t>
      </w:r>
      <w:bookmarkEnd w:id="9"/>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楷体_GB2312" w:hAnsi="楷体_GB2312" w:eastAsia="楷体_GB2312" w:cs="楷体_GB2312"/>
          <w:b w:val="0"/>
          <w:bCs/>
          <w:sz w:val="32"/>
          <w:szCs w:val="32"/>
          <w:lang w:val="en-US" w:eastAsia="zh-CN"/>
        </w:rPr>
      </w:pPr>
      <w:bookmarkStart w:id="10" w:name="_Toc8257"/>
      <w:r>
        <w:rPr>
          <w:rFonts w:hint="eastAsia" w:ascii="楷体_GB2312" w:hAnsi="楷体_GB2312" w:eastAsia="楷体_GB2312" w:cs="楷体_GB2312"/>
          <w:b w:val="0"/>
          <w:bCs/>
          <w:sz w:val="32"/>
          <w:szCs w:val="32"/>
          <w:lang w:val="en-US" w:eastAsia="zh-CN"/>
        </w:rPr>
        <w:t>（一）一般公共预算当年拨款规模变化情况</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文化市场综合行政执法支队2024年一般公共预算当年拨款816.37万元，比2023年预算数增加31.77万元，主要原因是基本支出增加56.33万元，项目支出减少24.56万元。基本支出增加的原因为因人员职务晋升导致工资福利支出增加，项目支出减少的原因为2024年度减少执法制服购置经费和执法车辆尾款购置经费一次性项目。</w:t>
      </w:r>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楷体_GB2312" w:hAnsi="楷体_GB2312" w:eastAsia="楷体_GB2312" w:cs="楷体_GB2312"/>
          <w:b w:val="0"/>
          <w:bCs/>
          <w:sz w:val="32"/>
          <w:szCs w:val="32"/>
          <w:lang w:val="en-US" w:eastAsia="zh-CN"/>
        </w:rPr>
      </w:pPr>
      <w:bookmarkStart w:id="11" w:name="_Toc25913"/>
      <w:r>
        <w:rPr>
          <w:rFonts w:hint="eastAsia" w:ascii="楷体_GB2312" w:hAnsi="楷体_GB2312" w:eastAsia="楷体_GB2312" w:cs="楷体_GB2312"/>
          <w:b w:val="0"/>
          <w:bCs/>
          <w:sz w:val="32"/>
          <w:szCs w:val="32"/>
          <w:lang w:val="en-US" w:eastAsia="zh-CN"/>
        </w:rPr>
        <w:t>（二）一般公共预算当年拨款结构情况</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文化旅游体育与传媒支出664.23万元，占81%；</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社会保障和就业支出</w:t>
      </w:r>
      <w:r>
        <w:rPr>
          <w:rFonts w:hint="eastAsia" w:ascii="仿宋_GB2312" w:hAnsi="仿宋_GB2312" w:eastAsia="仿宋_GB2312" w:cs="仿宋_GB2312"/>
          <w:sz w:val="32"/>
          <w:szCs w:val="32"/>
          <w:lang w:val="en-US" w:eastAsia="zh-CN"/>
        </w:rPr>
        <w:t>70.29万元，占9%；</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卫生健康</w:t>
      </w:r>
      <w:r>
        <w:rPr>
          <w:rFonts w:hint="eastAsia" w:ascii="仿宋_GB2312" w:hAnsi="仿宋_GB2312" w:eastAsia="仿宋_GB2312" w:cs="仿宋_GB2312"/>
          <w:sz w:val="32"/>
          <w:szCs w:val="32"/>
          <w:lang w:val="en-US" w:eastAsia="zh-CN"/>
        </w:rPr>
        <w:t>支出22.72万元，占3%；</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住房保障支出</w:t>
      </w:r>
      <w:r>
        <w:rPr>
          <w:rFonts w:hint="eastAsia" w:ascii="仿宋_GB2312" w:hAnsi="仿宋_GB2312" w:eastAsia="仿宋_GB2312" w:cs="仿宋_GB2312"/>
          <w:sz w:val="32"/>
          <w:szCs w:val="32"/>
          <w:lang w:val="en-US" w:eastAsia="zh-CN"/>
        </w:rPr>
        <w:t>59.14万元，占7%。</w:t>
      </w:r>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楷体_GB2312" w:hAnsi="楷体_GB2312" w:eastAsia="楷体_GB2312" w:cs="楷体_GB2312"/>
          <w:b w:val="0"/>
          <w:bCs/>
          <w:sz w:val="32"/>
          <w:szCs w:val="32"/>
          <w:lang w:val="en-US" w:eastAsia="zh-CN"/>
        </w:rPr>
      </w:pPr>
      <w:bookmarkStart w:id="12" w:name="_Toc18027"/>
      <w:r>
        <w:rPr>
          <w:rFonts w:hint="eastAsia" w:ascii="楷体_GB2312" w:hAnsi="楷体_GB2312" w:eastAsia="楷体_GB2312" w:cs="楷体_GB2312"/>
          <w:b w:val="0"/>
          <w:bCs/>
          <w:sz w:val="32"/>
          <w:szCs w:val="32"/>
          <w:lang w:val="en-US" w:eastAsia="zh-CN"/>
        </w:rPr>
        <w:t>（三）一般公共预算当年拨款具体使用情况</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b w:val="0"/>
          <w:color w:val="auto"/>
          <w:sz w:val="32"/>
          <w:szCs w:val="32"/>
          <w:lang w:val="en-US" w:eastAsia="zh-CN"/>
        </w:rPr>
        <w:t>文化旅游体育与传媒支出(类)文化和旅游(款)文化和旅游市场管理(项)</w:t>
      </w:r>
      <w:r>
        <w:rPr>
          <w:rFonts w:hint="eastAsia" w:ascii="仿宋_GB2312" w:hAnsi="仿宋_GB2312" w:eastAsia="仿宋_GB2312" w:cs="仿宋_GB2312"/>
          <w:sz w:val="32"/>
          <w:szCs w:val="32"/>
          <w:lang w:val="en-US" w:eastAsia="zh-CN"/>
        </w:rPr>
        <w:t>2024年预算数为664.23万元，主要用于：基本工资、津贴补贴、奖金</w:t>
      </w:r>
      <w:r>
        <w:rPr>
          <w:rFonts w:hint="eastAsia" w:ascii="仿宋_GB2312" w:hAnsi="仿宋_GB2312" w:eastAsia="仿宋_GB2312" w:cs="仿宋_GB2312"/>
          <w:b w:val="0"/>
          <w:color w:val="auto"/>
          <w:sz w:val="32"/>
          <w:szCs w:val="32"/>
          <w:lang w:val="en-US" w:eastAsia="zh-CN"/>
        </w:rPr>
        <w:t>、</w:t>
      </w:r>
      <w:r>
        <w:rPr>
          <w:rFonts w:hint="eastAsia" w:ascii="仿宋_GB2312" w:hAnsi="仿宋_GB2312" w:eastAsia="仿宋_GB2312" w:cs="仿宋_GB2312"/>
          <w:sz w:val="32"/>
          <w:szCs w:val="32"/>
          <w:lang w:val="en-US" w:eastAsia="zh-CN"/>
        </w:rPr>
        <w:t>办公费、印刷费、手续费、电费、邮电费、物业管理费、差旅费、维修（护）费、培训费、公务接待费、劳务费、工会经费、福利费、公务用车运行维护费、其他交通费用、其他商品和服务支出等支出</w:t>
      </w:r>
      <w:r>
        <w:rPr>
          <w:rFonts w:hint="eastAsia" w:ascii="仿宋_GB2312" w:hAnsi="仿宋_GB2312" w:eastAsia="仿宋_GB2312" w:cs="仿宋_GB2312"/>
          <w:b w:val="0"/>
          <w:color w:val="auto"/>
          <w:sz w:val="32"/>
          <w:szCs w:val="32"/>
          <w:lang w:val="en-US" w:eastAsia="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right="0" w:firstLine="668"/>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2024年预算数为69.81万元，主要用于：</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实施养老保险制度由单位缴纳的基本养老保险支出。</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Autospacing="0" w:line="576" w:lineRule="exact"/>
        <w:ind w:left="0" w:right="0" w:firstLine="668"/>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3</w:t>
      </w:r>
      <w:r>
        <w:rPr>
          <w:rFonts w:hint="default" w:ascii="仿宋_GB2312" w:hAnsi="仿宋_GB2312" w:eastAsia="仿宋_GB2312" w:cs="仿宋_GB2312"/>
          <w:color w:val="auto"/>
          <w:sz w:val="32"/>
          <w:szCs w:val="32"/>
          <w:lang w:val="en-US" w:eastAsia="zh-CN"/>
        </w:rPr>
        <w:t>.</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社会保障和就业（类）</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woUserID w:val="1"/>
        </w:rPr>
        <w:t>其他行政事业单位养老支出</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（款）其他行政事业单位养老支出（项）</w:t>
      </w:r>
      <w:r>
        <w:rPr>
          <w:rFonts w:hint="eastAsia" w:ascii="仿宋_GB2312" w:hAnsi="仿宋_GB2312" w:eastAsia="仿宋_GB2312" w:cs="仿宋_GB2312"/>
          <w:color w:val="auto"/>
          <w:sz w:val="32"/>
          <w:szCs w:val="32"/>
          <w:lang w:val="en-US" w:eastAsia="zh-CN"/>
        </w:rPr>
        <w:t>2024年预算数为0.48万元，主要用于：</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由单位缴纳的工伤保险支出。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卫生健康（类）行政事业单位医疗（款）事业单位医疗（项）</w:t>
      </w:r>
      <w:r>
        <w:rPr>
          <w:rFonts w:hint="eastAsia" w:ascii="仿宋_GB2312" w:hAnsi="仿宋_GB2312" w:eastAsia="仿宋_GB2312" w:cs="仿宋_GB2312"/>
          <w:sz w:val="32"/>
          <w:szCs w:val="32"/>
          <w:lang w:val="en-US" w:eastAsia="zh-CN"/>
        </w:rPr>
        <w:t>2024年预算数为22.72万元，主要用于：事业单位按规定由单位缴纳的基本医疗保险支出。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住房保障（类）住房改革支出（款）住房公积金（项）</w:t>
      </w:r>
      <w:r>
        <w:rPr>
          <w:rFonts w:hint="eastAsia" w:ascii="仿宋_GB2312" w:hAnsi="仿宋_GB2312" w:eastAsia="仿宋_GB2312" w:cs="仿宋_GB2312"/>
          <w:sz w:val="32"/>
          <w:szCs w:val="32"/>
          <w:lang w:val="en-US" w:eastAsia="zh-CN"/>
        </w:rPr>
        <w:t>2024年预算数为59.14万元，主要用于：部门按规定为职工缴纳的住房公积金支出。</w:t>
      </w:r>
    </w:p>
    <w:p>
      <w:pPr>
        <w:pStyle w:val="3"/>
        <w:keepNext/>
        <w:keepLines/>
        <w:pageBreakBefore w:val="0"/>
        <w:widowControl w:val="0"/>
        <w:kinsoku/>
        <w:wordWrap/>
        <w:overflowPunct/>
        <w:topLinePunct w:val="0"/>
        <w:autoSpaceDE/>
        <w:autoSpaceDN/>
        <w:bidi w:val="0"/>
        <w:adjustRightInd/>
        <w:snapToGrid/>
        <w:spacing w:before="0" w:beforeLines="0" w:after="0" w:afterLines="0" w:line="576" w:lineRule="exact"/>
        <w:ind w:firstLine="640" w:firstLineChars="200"/>
        <w:textAlignment w:val="auto"/>
        <w:rPr>
          <w:rFonts w:hint="eastAsia" w:ascii="黑体" w:hAnsi="黑体" w:eastAsia="黑体" w:cs="黑体"/>
          <w:b w:val="0"/>
          <w:bCs/>
          <w:sz w:val="32"/>
          <w:szCs w:val="32"/>
          <w:lang w:val="en-US" w:eastAsia="zh-CN"/>
        </w:rPr>
      </w:pPr>
      <w:bookmarkStart w:id="13" w:name="_Toc22708"/>
      <w:r>
        <w:rPr>
          <w:rFonts w:hint="eastAsia" w:ascii="黑体" w:hAnsi="黑体" w:eastAsia="黑体" w:cs="黑体"/>
          <w:b w:val="0"/>
          <w:bCs/>
          <w:sz w:val="32"/>
          <w:szCs w:val="32"/>
          <w:lang w:val="en-US" w:eastAsia="zh-CN"/>
        </w:rPr>
        <w:t>六、一般公共预算基本支出情况说明</w:t>
      </w:r>
      <w:bookmarkEnd w:id="1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广元市文化市场综合行政执法支队2024年一般公共预算基本支出756.71万元，其中：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人员经费646.92万元，主要包括：基本工资、津贴补贴、奖金、社会保险缴费、住房公积金、生活补助等支出。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109.8万元，主要包括：办公费、印刷费、手续费、电费、邮电费、物业管理费、差旅费、维修（护）费、培训费、公务接待费、劳务费、工会经费、福利费、公务用车运行维护费、其他交通费用、其他商品和服务支出等支出。</w:t>
      </w:r>
    </w:p>
    <w:p>
      <w:pPr>
        <w:pStyle w:val="3"/>
        <w:keepNext/>
        <w:keepLines/>
        <w:pageBreakBefore w:val="0"/>
        <w:widowControl w:val="0"/>
        <w:kinsoku/>
        <w:wordWrap/>
        <w:overflowPunct/>
        <w:topLinePunct w:val="0"/>
        <w:autoSpaceDE/>
        <w:autoSpaceDN/>
        <w:bidi w:val="0"/>
        <w:adjustRightInd/>
        <w:snapToGrid/>
        <w:spacing w:before="0" w:beforeLines="0" w:after="0" w:afterLines="0" w:line="576" w:lineRule="exact"/>
        <w:ind w:firstLine="640" w:firstLineChars="200"/>
        <w:textAlignment w:val="auto"/>
        <w:rPr>
          <w:rFonts w:hint="eastAsia" w:ascii="黑体" w:hAnsi="黑体" w:eastAsia="黑体" w:cs="黑体"/>
          <w:b w:val="0"/>
          <w:bCs/>
          <w:sz w:val="32"/>
          <w:szCs w:val="32"/>
          <w:lang w:val="en-US" w:eastAsia="zh-CN"/>
        </w:rPr>
      </w:pPr>
      <w:bookmarkStart w:id="14" w:name="_Toc28083"/>
      <w:r>
        <w:rPr>
          <w:rFonts w:hint="eastAsia" w:ascii="黑体" w:hAnsi="黑体" w:eastAsia="黑体" w:cs="黑体"/>
          <w:b w:val="0"/>
          <w:bCs/>
          <w:sz w:val="32"/>
          <w:szCs w:val="32"/>
          <w:lang w:val="en-US" w:eastAsia="zh-CN"/>
        </w:rPr>
        <w:t>七、“三公”经费财政拨款预算安排情况说明</w:t>
      </w:r>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广元市文化市场综合行政执法支队2024年“三公”经费财政拨款预算数9.8万元，其中：公务接待费0.3万元，公务用车购置及运行维护费9.5万元，因公出国（境）经费0万元。</w:t>
      </w:r>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楷体_GB2312" w:hAnsi="楷体_GB2312" w:eastAsia="楷体_GB2312" w:cs="楷体_GB2312"/>
          <w:b w:val="0"/>
          <w:bCs/>
          <w:sz w:val="32"/>
          <w:szCs w:val="32"/>
          <w:lang w:val="en-US" w:eastAsia="zh-CN"/>
        </w:rPr>
      </w:pPr>
      <w:bookmarkStart w:id="15" w:name="_Toc17111"/>
      <w:r>
        <w:rPr>
          <w:rFonts w:hint="eastAsia" w:ascii="楷体_GB2312" w:hAnsi="楷体_GB2312" w:eastAsia="楷体_GB2312" w:cs="楷体_GB2312"/>
          <w:b w:val="0"/>
          <w:bCs/>
          <w:sz w:val="32"/>
          <w:szCs w:val="32"/>
          <w:lang w:val="en-US" w:eastAsia="zh-CN"/>
        </w:rPr>
        <w:t>（一）公务接待费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楷体_GB2312" w:hAnsi="楷体_GB2312" w:eastAsia="楷体_GB2312" w:cs="楷体_GB2312"/>
          <w:b w:val="0"/>
          <w:bCs/>
          <w:sz w:val="32"/>
          <w:szCs w:val="32"/>
          <w:lang w:val="en-US" w:eastAsia="zh-CN"/>
        </w:rPr>
      </w:pPr>
      <w:bookmarkStart w:id="16" w:name="_Toc24567"/>
      <w:r>
        <w:rPr>
          <w:rFonts w:hint="eastAsia" w:ascii="楷体_GB2312" w:hAnsi="楷体_GB2312" w:eastAsia="楷体_GB2312" w:cs="楷体_GB2312"/>
          <w:b w:val="0"/>
          <w:bCs/>
          <w:sz w:val="32"/>
          <w:szCs w:val="32"/>
          <w:lang w:val="en-US" w:eastAsia="zh-CN"/>
        </w:rPr>
        <w:t>（二）公务用车购置及运行维护费</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单位现有公务用车2辆，其中：特种车辆2辆。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2024年安排公务用车购置费0万元。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2024年安排公务用车运行维护费9.5万元，用于2辆公务用车燃油、过路（桥）、维修、保险等方面支出，主要保障执法办案工作开展。</w:t>
      </w:r>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default" w:ascii="楷体_GB2312" w:hAnsi="楷体_GB2312" w:eastAsia="楷体_GB2312" w:cs="楷体_GB2312"/>
          <w:b w:val="0"/>
          <w:bCs/>
          <w:sz w:val="32"/>
          <w:szCs w:val="32"/>
          <w:lang w:val="en-US" w:eastAsia="zh-CN"/>
        </w:rPr>
      </w:pPr>
      <w:bookmarkStart w:id="17" w:name="_Toc26659"/>
      <w:r>
        <w:rPr>
          <w:rFonts w:hint="eastAsia" w:ascii="楷体_GB2312" w:hAnsi="楷体_GB2312" w:eastAsia="楷体_GB2312" w:cs="楷体_GB2312"/>
          <w:b w:val="0"/>
          <w:bCs/>
          <w:sz w:val="32"/>
          <w:szCs w:val="32"/>
          <w:lang w:val="en-US" w:eastAsia="zh-CN"/>
        </w:rPr>
        <w:t>（三）因公出国（境）经费</w:t>
      </w:r>
      <w:bookmarkEnd w:id="17"/>
    </w:p>
    <w:p>
      <w:pPr>
        <w:keepNext w:val="0"/>
        <w:keepLines w:val="0"/>
        <w:pageBreakBefore w:val="0"/>
        <w:widowControl w:val="0"/>
        <w:kinsoku/>
        <w:wordWrap/>
        <w:overflowPunct/>
        <w:topLinePunct w:val="0"/>
        <w:autoSpaceDE/>
        <w:autoSpaceDN/>
        <w:bidi w:val="0"/>
        <w:adjustRightInd/>
        <w:snapToGrid/>
        <w:spacing w:line="576"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因公出国（境）经费与2023年预算相比</w:t>
      </w:r>
      <w:r>
        <w:rPr>
          <w:rFonts w:hint="default" w:ascii="仿宋_GB2312" w:hAnsi="仿宋_GB2312" w:eastAsia="仿宋_GB2312" w:cs="仿宋_GB2312"/>
          <w:sz w:val="32"/>
          <w:szCs w:val="32"/>
          <w:lang w:eastAsia="zh-CN"/>
          <w:woUserID w:val="1"/>
        </w:rPr>
        <w:t>持平，2024年</w:t>
      </w:r>
      <w:r>
        <w:rPr>
          <w:rFonts w:hint="eastAsia" w:ascii="仿宋_GB2312" w:hAnsi="仿宋_GB2312" w:eastAsia="仿宋_GB2312" w:cs="仿宋_GB2312"/>
          <w:sz w:val="32"/>
          <w:szCs w:val="32"/>
          <w:lang w:val="en-US" w:eastAsia="zh-CN"/>
        </w:rPr>
        <w:t>无预算安排。</w:t>
      </w:r>
    </w:p>
    <w:p>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rPr>
          <w:rFonts w:hint="eastAsia" w:ascii="黑体" w:hAnsi="黑体" w:eastAsia="黑体" w:cs="黑体"/>
          <w:b w:val="0"/>
          <w:bCs/>
          <w:color w:val="auto"/>
          <w:kern w:val="44"/>
          <w:sz w:val="32"/>
          <w:szCs w:val="32"/>
          <w:lang w:val="en-US" w:eastAsia="zh-CN" w:bidi="ar-SA"/>
        </w:rPr>
      </w:pPr>
      <w:r>
        <w:rPr>
          <w:rFonts w:hint="eastAsia" w:ascii="黑体" w:hAnsi="黑体" w:eastAsia="黑体" w:cs="黑体"/>
          <w:b w:val="0"/>
          <w:bCs/>
          <w:color w:val="auto"/>
          <w:kern w:val="44"/>
          <w:sz w:val="32"/>
          <w:szCs w:val="32"/>
          <w:lang w:val="en-US" w:eastAsia="zh-CN" w:bidi="ar-SA"/>
        </w:rPr>
        <w:t>八、政府性基金预算支出情况说明</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rPr>
        <w:t>市文化市场综合行政执法支队</w:t>
      </w:r>
      <w:r>
        <w:rPr>
          <w:rFonts w:hint="eastAsia" w:ascii="仿宋_GB2312" w:hAnsi="仿宋_GB2312" w:eastAsia="仿宋_GB2312" w:cs="仿宋_GB2312"/>
          <w:sz w:val="32"/>
          <w:szCs w:val="32"/>
          <w:lang w:val="en-US" w:eastAsia="zh-CN"/>
        </w:rPr>
        <w:t>2024年无政府性基金预算拨款安排的支出。</w:t>
      </w:r>
    </w:p>
    <w:p>
      <w:pPr>
        <w:pStyle w:val="3"/>
        <w:keepNext/>
        <w:keepLines/>
        <w:pageBreakBefore w:val="0"/>
        <w:widowControl w:val="0"/>
        <w:kinsoku/>
        <w:wordWrap/>
        <w:overflowPunct/>
        <w:topLinePunct w:val="0"/>
        <w:autoSpaceDE/>
        <w:autoSpaceDN/>
        <w:bidi w:val="0"/>
        <w:adjustRightInd/>
        <w:snapToGrid/>
        <w:spacing w:before="0" w:beforeLines="0" w:after="0" w:afterLines="0" w:line="576" w:lineRule="exact"/>
        <w:ind w:firstLine="640" w:firstLineChars="200"/>
        <w:textAlignment w:val="auto"/>
        <w:rPr>
          <w:rFonts w:hint="eastAsia" w:ascii="黑体" w:hAnsi="黑体" w:eastAsia="黑体" w:cs="黑体"/>
          <w:b w:val="0"/>
          <w:bCs/>
          <w:sz w:val="32"/>
          <w:szCs w:val="32"/>
          <w:lang w:val="en-US" w:eastAsia="zh-CN"/>
        </w:rPr>
      </w:pPr>
      <w:bookmarkStart w:id="18" w:name="_Toc20839"/>
      <w:r>
        <w:rPr>
          <w:rFonts w:hint="eastAsia" w:ascii="黑体" w:hAnsi="黑体" w:eastAsia="黑体" w:cs="黑体"/>
          <w:b w:val="0"/>
          <w:bCs/>
          <w:sz w:val="32"/>
          <w:szCs w:val="32"/>
          <w:lang w:val="en-US" w:eastAsia="zh-CN"/>
        </w:rPr>
        <w:t>九、国有资本经营预算支出情况说明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rPr>
        <w:t>市文化市场综合行政执法支队</w:t>
      </w:r>
      <w:r>
        <w:rPr>
          <w:rFonts w:hint="eastAsia" w:ascii="仿宋_GB2312" w:hAnsi="仿宋_GB2312" w:eastAsia="仿宋_GB2312" w:cs="仿宋_GB2312"/>
          <w:sz w:val="32"/>
          <w:szCs w:val="32"/>
          <w:lang w:val="en-US" w:eastAsia="zh-CN"/>
        </w:rPr>
        <w:t>2024年无国有资本经营预算拨款安排的支出。</w:t>
      </w:r>
    </w:p>
    <w:p>
      <w:pPr>
        <w:pStyle w:val="3"/>
        <w:keepNext/>
        <w:keepLines/>
        <w:pageBreakBefore w:val="0"/>
        <w:widowControl w:val="0"/>
        <w:kinsoku/>
        <w:wordWrap/>
        <w:overflowPunct/>
        <w:topLinePunct w:val="0"/>
        <w:autoSpaceDE/>
        <w:autoSpaceDN/>
        <w:bidi w:val="0"/>
        <w:adjustRightInd/>
        <w:snapToGrid/>
        <w:spacing w:before="0" w:beforeLines="0" w:after="0" w:afterLines="0" w:line="576" w:lineRule="exact"/>
        <w:ind w:firstLine="640" w:firstLineChars="200"/>
        <w:textAlignment w:val="auto"/>
        <w:rPr>
          <w:rFonts w:hint="eastAsia" w:ascii="黑体" w:hAnsi="黑体" w:eastAsia="黑体" w:cs="黑体"/>
          <w:b w:val="0"/>
          <w:bCs/>
          <w:sz w:val="32"/>
          <w:szCs w:val="32"/>
          <w:lang w:val="en-US" w:eastAsia="zh-CN"/>
        </w:rPr>
      </w:pPr>
      <w:bookmarkStart w:id="19" w:name="_Toc28404"/>
      <w:r>
        <w:rPr>
          <w:rFonts w:hint="eastAsia" w:ascii="黑体" w:hAnsi="黑体" w:eastAsia="黑体" w:cs="黑体"/>
          <w:b w:val="0"/>
          <w:bCs/>
          <w:sz w:val="32"/>
          <w:szCs w:val="32"/>
          <w:lang w:val="en-US" w:eastAsia="zh-CN"/>
        </w:rPr>
        <w:t>十、其他重要事项的情况说明</w:t>
      </w:r>
      <w:bookmarkEnd w:id="19"/>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楷体_GB2312" w:hAnsi="楷体_GB2312" w:eastAsia="楷体_GB2312" w:cs="楷体_GB2312"/>
          <w:b w:val="0"/>
          <w:bCs/>
          <w:sz w:val="32"/>
          <w:szCs w:val="32"/>
          <w:lang w:val="en-US" w:eastAsia="zh-CN"/>
        </w:rPr>
      </w:pPr>
      <w:bookmarkStart w:id="20" w:name="_Toc11827"/>
      <w:r>
        <w:rPr>
          <w:rFonts w:hint="eastAsia" w:ascii="楷体_GB2312" w:hAnsi="楷体_GB2312" w:eastAsia="楷体_GB2312" w:cs="楷体_GB2312"/>
          <w:b w:val="0"/>
          <w:bCs/>
          <w:sz w:val="32"/>
          <w:szCs w:val="32"/>
          <w:lang w:val="en-US" w:eastAsia="zh-CN"/>
        </w:rPr>
        <w:t>（一）机关运行经费</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rPr>
        <w:t>市文化市场综合行政执法支队</w:t>
      </w:r>
      <w:r>
        <w:rPr>
          <w:rFonts w:hint="eastAsia" w:ascii="仿宋_GB2312" w:hAnsi="仿宋_GB2312" w:eastAsia="仿宋_GB2312" w:cs="仿宋_GB2312"/>
          <w:sz w:val="32"/>
          <w:szCs w:val="32"/>
          <w:lang w:val="en-US" w:eastAsia="zh-CN"/>
        </w:rPr>
        <w:t>的机关运行经费财政拨款预算为109.8万元，比2023年预算增加3.16万元，增长2.96%。主要原因因人员职务晋升，其他交通费用、党建经费、工会经费相应增长。</w:t>
      </w:r>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楷体_GB2312" w:hAnsi="楷体_GB2312" w:eastAsia="楷体_GB2312" w:cs="楷体_GB2312"/>
          <w:b w:val="0"/>
          <w:bCs/>
          <w:sz w:val="32"/>
          <w:szCs w:val="32"/>
          <w:lang w:val="en-US" w:eastAsia="zh-CN"/>
        </w:rPr>
      </w:pPr>
      <w:bookmarkStart w:id="21" w:name="_Toc31984"/>
      <w:r>
        <w:rPr>
          <w:rFonts w:hint="eastAsia" w:ascii="楷体_GB2312" w:hAnsi="楷体_GB2312" w:eastAsia="楷体_GB2312" w:cs="楷体_GB2312"/>
          <w:b w:val="0"/>
          <w:bCs/>
          <w:sz w:val="32"/>
          <w:szCs w:val="32"/>
          <w:lang w:val="en-US" w:eastAsia="zh-CN"/>
        </w:rPr>
        <w:t>（二）政府采购情况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rPr>
        <w:t>市文化市场综合行政执法支队</w:t>
      </w:r>
      <w:r>
        <w:rPr>
          <w:rFonts w:hint="eastAsia" w:ascii="仿宋_GB2312" w:hAnsi="仿宋_GB2312" w:eastAsia="仿宋_GB2312" w:cs="仿宋_GB2312"/>
          <w:sz w:val="32"/>
          <w:szCs w:val="32"/>
          <w:lang w:eastAsia="zh-CN"/>
        </w:rPr>
        <w:t>没有</w:t>
      </w:r>
      <w:r>
        <w:rPr>
          <w:rFonts w:hint="eastAsia" w:ascii="仿宋_GB2312" w:hAnsi="仿宋_GB2312" w:eastAsia="仿宋_GB2312" w:cs="仿宋_GB2312"/>
          <w:sz w:val="32"/>
          <w:szCs w:val="32"/>
          <w:lang w:val="en-US" w:eastAsia="zh-CN"/>
        </w:rPr>
        <w:t>安排政府采购预算。</w:t>
      </w:r>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楷体_GB2312" w:hAnsi="楷体_GB2312" w:eastAsia="楷体_GB2312" w:cs="楷体_GB2312"/>
          <w:b w:val="0"/>
          <w:bCs/>
          <w:sz w:val="32"/>
          <w:szCs w:val="32"/>
          <w:lang w:val="en-US" w:eastAsia="zh-CN"/>
        </w:rPr>
      </w:pPr>
      <w:bookmarkStart w:id="22" w:name="_Toc11964"/>
      <w:r>
        <w:rPr>
          <w:rFonts w:hint="eastAsia" w:ascii="楷体_GB2312" w:hAnsi="楷体_GB2312" w:eastAsia="楷体_GB2312" w:cs="楷体_GB2312"/>
          <w:b w:val="0"/>
          <w:bCs/>
          <w:sz w:val="32"/>
          <w:szCs w:val="32"/>
          <w:lang w:val="en-US" w:eastAsia="zh-CN"/>
        </w:rPr>
        <w:t>（三）国有资产占有使用情况</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w:t>
      </w: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rPr>
        <w:t>市文化市场综合行政执法支队</w:t>
      </w:r>
      <w:r>
        <w:rPr>
          <w:rFonts w:hint="eastAsia" w:ascii="仿宋_GB2312" w:hAnsi="仿宋_GB2312" w:eastAsia="仿宋_GB2312" w:cs="仿宋_GB2312"/>
          <w:sz w:val="32"/>
          <w:szCs w:val="32"/>
          <w:lang w:val="en-US" w:eastAsia="zh-CN"/>
        </w:rPr>
        <w:t>共有车辆2辆，其中，执法执勤用车2辆。单位无价值200万元以上的大型设备。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pStyle w:val="4"/>
        <w:keepNext/>
        <w:keepLines/>
        <w:pageBreakBefore w:val="0"/>
        <w:widowControl w:val="0"/>
        <w:kinsoku/>
        <w:wordWrap/>
        <w:overflowPunct/>
        <w:topLinePunct w:val="0"/>
        <w:autoSpaceDE/>
        <w:autoSpaceDN/>
        <w:bidi w:val="0"/>
        <w:adjustRightInd/>
        <w:snapToGrid/>
        <w:spacing w:before="0" w:after="0" w:line="576" w:lineRule="exact"/>
        <w:ind w:firstLine="640" w:firstLineChars="200"/>
        <w:textAlignment w:val="auto"/>
        <w:rPr>
          <w:rFonts w:hint="eastAsia" w:ascii="楷体_GB2312" w:hAnsi="楷体_GB2312" w:eastAsia="楷体_GB2312" w:cs="楷体_GB2312"/>
          <w:b w:val="0"/>
          <w:bCs/>
          <w:sz w:val="32"/>
          <w:szCs w:val="32"/>
        </w:rPr>
      </w:pPr>
      <w:bookmarkStart w:id="23" w:name="_Toc13569"/>
      <w:r>
        <w:rPr>
          <w:rFonts w:hint="eastAsia" w:ascii="楷体_GB2312" w:hAnsi="楷体_GB2312" w:eastAsia="楷体_GB2312" w:cs="楷体_GB2312"/>
          <w:b w:val="0"/>
          <w:bCs/>
          <w:sz w:val="32"/>
          <w:szCs w:val="32"/>
          <w:lang w:val="en-US" w:eastAsia="zh-CN"/>
        </w:rPr>
        <w:t>（四）绩效目标设置情况</w:t>
      </w:r>
      <w:bookmarkEnd w:id="2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sz w:val="32"/>
          <w:szCs w:val="32"/>
          <w:lang w:eastAsia="zh-CN"/>
        </w:rPr>
        <w:t>广元</w:t>
      </w:r>
      <w:r>
        <w:rPr>
          <w:rFonts w:hint="eastAsia" w:ascii="仿宋_GB2312" w:hAnsi="仿宋_GB2312" w:eastAsia="仿宋_GB2312" w:cs="仿宋_GB2312"/>
          <w:sz w:val="32"/>
          <w:szCs w:val="32"/>
        </w:rPr>
        <w:t>市文化市场综合行政执法支队</w:t>
      </w:r>
      <w:r>
        <w:rPr>
          <w:rFonts w:hint="eastAsia" w:ascii="仿宋_GB2312" w:hAnsi="仿宋_GB2312" w:eastAsia="仿宋_GB2312" w:cs="仿宋_GB2312"/>
          <w:sz w:val="32"/>
          <w:szCs w:val="32"/>
          <w:lang w:val="en-US" w:eastAsia="zh-CN"/>
        </w:rPr>
        <w:t>开展绩效目标管理的项目12个，涉及预算816.37万元。其中：人员类项目6个，涉及预算646.91万元；运转类项目3个，涉及预算109.8万元；特定目标类项目3个，涉及预算59.66万元。</w:t>
      </w:r>
    </w:p>
    <w:p>
      <w:pPr>
        <w:pStyle w:val="3"/>
        <w:keepNext/>
        <w:keepLines/>
        <w:pageBreakBefore w:val="0"/>
        <w:widowControl w:val="0"/>
        <w:kinsoku/>
        <w:wordWrap/>
        <w:overflowPunct/>
        <w:topLinePunct w:val="0"/>
        <w:autoSpaceDE/>
        <w:autoSpaceDN/>
        <w:bidi w:val="0"/>
        <w:adjustRightInd/>
        <w:snapToGrid/>
        <w:spacing w:before="0" w:beforeLines="0" w:after="0" w:afterLines="0" w:line="576" w:lineRule="exact"/>
        <w:ind w:firstLine="640" w:firstLineChars="200"/>
        <w:textAlignment w:val="auto"/>
        <w:rPr>
          <w:rFonts w:hint="eastAsia" w:ascii="黑体" w:hAnsi="黑体" w:eastAsia="黑体" w:cs="黑体"/>
          <w:b w:val="0"/>
          <w:bCs/>
          <w:sz w:val="32"/>
          <w:szCs w:val="32"/>
          <w:lang w:val="en-US" w:eastAsia="zh-CN"/>
        </w:rPr>
      </w:pPr>
      <w:bookmarkStart w:id="24" w:name="_Toc11809"/>
      <w:r>
        <w:rPr>
          <w:rFonts w:hint="eastAsia" w:ascii="黑体" w:hAnsi="黑体" w:eastAsia="黑体" w:cs="黑体"/>
          <w:b w:val="0"/>
          <w:bCs/>
          <w:sz w:val="32"/>
          <w:szCs w:val="32"/>
          <w:lang w:val="en-US" w:eastAsia="zh-CN"/>
        </w:rPr>
        <w:t>十一、名词解释</w:t>
      </w:r>
      <w:bookmarkEnd w:id="2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color w:val="auto"/>
          <w:kern w:val="2"/>
          <w:sz w:val="32"/>
          <w:szCs w:val="32"/>
          <w:lang w:val="en-US" w:eastAsia="zh-CN" w:bidi="ar-SA"/>
        </w:rPr>
        <w:t>（一）财政拨款收入</w:t>
      </w:r>
      <w:r>
        <w:rPr>
          <w:rFonts w:hint="default" w:ascii="楷体_GB2312" w:hAnsi="楷体_GB2312" w:eastAsia="楷体_GB2312" w:cs="楷体_GB2312"/>
          <w:b w:val="0"/>
          <w:bCs/>
          <w:color w:val="auto"/>
          <w:kern w:val="2"/>
          <w:sz w:val="32"/>
          <w:szCs w:val="32"/>
          <w:lang w:val="en-US" w:eastAsia="zh-CN" w:bidi="ar-SA"/>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楷体_GB2312" w:hAnsi="楷体_GB2312" w:eastAsia="楷体_GB2312" w:cs="楷体_GB2312"/>
          <w:b w:val="0"/>
          <w:bCs/>
          <w:color w:val="auto"/>
          <w:kern w:val="2"/>
          <w:sz w:val="32"/>
          <w:szCs w:val="32"/>
          <w:lang w:val="en-US" w:eastAsia="zh-CN" w:bidi="ar-SA"/>
        </w:rPr>
        <w:t>（二）文化旅游体育与传媒支出(类)文化和旅游(款)文化和旅游市场管理(项)：</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指为用于单位在职人员</w:t>
      </w:r>
      <w:r>
        <w:rPr>
          <w:rFonts w:hint="eastAsia" w:ascii="仿宋_GB2312" w:hAnsi="仿宋_GB2312" w:eastAsia="仿宋_GB2312" w:cs="仿宋_GB2312"/>
          <w:b w:val="0"/>
          <w:color w:val="auto"/>
          <w:sz w:val="32"/>
          <w:szCs w:val="32"/>
          <w:lang w:val="en-US" w:eastAsia="zh-CN"/>
        </w:rPr>
        <w:t>在文化和旅游市场</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开展相关执法工作的经费支出。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color w:val="auto"/>
          <w:kern w:val="2"/>
          <w:sz w:val="32"/>
          <w:szCs w:val="32"/>
          <w:lang w:val="en-US" w:eastAsia="zh-CN" w:bidi="ar-SA"/>
        </w:rPr>
        <w:t>（三）社会保障和就业（类）行政事业单位养老支出（款）机关事业单位基本养老保险缴费支出（项）：</w:t>
      </w:r>
      <w:r>
        <w:rPr>
          <w:rFonts w:hint="eastAsia" w:ascii="仿宋_GB2312" w:hAnsi="仿宋_GB2312" w:eastAsia="仿宋_GB2312" w:cs="仿宋_GB2312"/>
          <w:sz w:val="32"/>
          <w:szCs w:val="32"/>
          <w:lang w:val="en-US" w:eastAsia="zh-CN"/>
        </w:rPr>
        <w:t>指部门实施养老保险制度由单位缴纳的养老保险的支出。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color w:val="auto"/>
          <w:kern w:val="2"/>
          <w:sz w:val="32"/>
          <w:szCs w:val="32"/>
          <w:lang w:val="en-US" w:eastAsia="zh-CN" w:bidi="ar-SA"/>
        </w:rPr>
        <w:t>（四）社会保障和就业（类）行政事业单位养老支出（款）其他行政事业单位养老支出（项）：</w:t>
      </w:r>
      <w:r>
        <w:rPr>
          <w:rFonts w:hint="eastAsia" w:ascii="仿宋_GB2312" w:hAnsi="仿宋_GB2312" w:eastAsia="仿宋_GB2312" w:cs="仿宋_GB2312"/>
          <w:sz w:val="32"/>
          <w:szCs w:val="32"/>
          <w:lang w:val="en-US" w:eastAsia="zh-CN"/>
        </w:rPr>
        <w:t>指</w:t>
      </w:r>
      <w:r>
        <w:rPr>
          <w:rFonts w:hint="eastAsia" w:ascii="仿宋_GB2312" w:hAnsi="仿宋_GB2312" w:eastAsia="仿宋_GB2312" w:cs="仿宋_GB2312"/>
          <w:i w:val="0"/>
          <w:caps w:val="0"/>
          <w:color w:val="auto"/>
          <w:spacing w:val="0"/>
          <w:kern w:val="0"/>
          <w:sz w:val="32"/>
          <w:szCs w:val="32"/>
          <w:shd w:val="clear" w:color="auto" w:fill="FFFFFF"/>
          <w:lang w:val="en-US" w:eastAsia="zh-CN" w:bidi="ar"/>
        </w:rPr>
        <w:t>由单位缴纳的工伤保险支出</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val="0"/>
          <w:bCs/>
          <w:color w:val="auto"/>
          <w:kern w:val="2"/>
          <w:sz w:val="32"/>
          <w:szCs w:val="32"/>
          <w:lang w:val="en-US" w:eastAsia="zh-CN" w:bidi="ar-SA"/>
        </w:rPr>
        <w:t>（五）卫生健康（类）行政事业单位医疗（款）事业单位医疗（项）：</w:t>
      </w:r>
      <w:r>
        <w:rPr>
          <w:rFonts w:hint="eastAsia" w:ascii="仿宋_GB2312" w:hAnsi="仿宋_GB2312" w:eastAsia="仿宋_GB2312" w:cs="仿宋_GB2312"/>
          <w:sz w:val="32"/>
          <w:szCs w:val="32"/>
          <w:lang w:val="en-US" w:eastAsia="zh-CN"/>
        </w:rPr>
        <w:t>指事业单位用于单位应缴纳基本医疗保险支出。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color w:val="auto"/>
          <w:kern w:val="2"/>
          <w:sz w:val="32"/>
          <w:szCs w:val="32"/>
          <w:lang w:val="en-US" w:eastAsia="zh-CN" w:bidi="ar-SA"/>
        </w:rPr>
        <w:t>（六）住房保障（类）住房改革支出（款）住房公积金（项）：</w:t>
      </w:r>
      <w:r>
        <w:rPr>
          <w:rFonts w:hint="eastAsia" w:ascii="仿宋_GB2312" w:hAnsi="仿宋_GB2312" w:eastAsia="仿宋_GB2312" w:cs="仿宋_GB2312"/>
          <w:sz w:val="32"/>
          <w:szCs w:val="32"/>
          <w:lang w:val="en-US" w:eastAsia="zh-CN"/>
        </w:rPr>
        <w:t>指按照《住房公积金管理条例》的规定，由单位及其在职职工缴存的长期住房储金。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color w:val="auto"/>
          <w:kern w:val="2"/>
          <w:sz w:val="32"/>
          <w:szCs w:val="32"/>
          <w:lang w:val="en-US" w:eastAsia="zh-CN" w:bidi="ar-SA"/>
        </w:rPr>
        <w:t>（七）基本支出：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（八）项目支出：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b w:val="0"/>
          <w:bCs/>
          <w:color w:val="auto"/>
          <w:kern w:val="2"/>
          <w:sz w:val="32"/>
          <w:szCs w:val="32"/>
          <w:lang w:val="en-US" w:eastAsia="zh-CN" w:bidi="ar-SA"/>
        </w:rPr>
        <w:t>（九）“三公”经费：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eastAsia="仿宋_GB2312"/>
          <w:sz w:val="32"/>
          <w:lang w:val="en-US" w:eastAsia="zh-CN"/>
        </w:rPr>
      </w:pPr>
      <w:bookmarkStart w:id="25" w:name="_Toc16934"/>
      <w:r>
        <w:rPr>
          <w:rFonts w:hint="eastAsia" w:eastAsia="仿宋_GB2312"/>
          <w:sz w:val="32"/>
          <w:lang w:val="en-US" w:eastAsia="zh-CN"/>
        </w:rPr>
        <w:t>附件：</w:t>
      </w:r>
      <w:r>
        <w:rPr>
          <w:rFonts w:hint="default" w:eastAsia="仿宋_GB2312"/>
          <w:sz w:val="32"/>
          <w:lang w:eastAsia="zh-CN"/>
          <w:woUserID w:val="1"/>
        </w:rPr>
        <w:t>单位</w:t>
      </w:r>
      <w:r>
        <w:rPr>
          <w:rFonts w:hint="eastAsia" w:eastAsia="仿宋_GB2312"/>
          <w:sz w:val="32"/>
          <w:lang w:val="en-US" w:eastAsia="zh-CN"/>
        </w:rPr>
        <w:t>预算公开表</w:t>
      </w:r>
      <w:bookmarkEnd w:id="25"/>
    </w:p>
    <w:p>
      <w:pPr>
        <w:keepNext w:val="0"/>
        <w:keepLines w:val="0"/>
        <w:pageBreakBefore w:val="0"/>
        <w:widowControl w:val="0"/>
        <w:kinsoku/>
        <w:wordWrap/>
        <w:overflowPunct/>
        <w:topLinePunct w:val="0"/>
        <w:autoSpaceDE/>
        <w:autoSpaceDN/>
        <w:bidi w:val="0"/>
        <w:adjustRightInd/>
        <w:snapToGrid/>
        <w:spacing w:line="576" w:lineRule="exact"/>
        <w:textAlignment w:val="auto"/>
        <w:rPr>
          <w:rFonts w:hint="eastAsia" w:ascii="仿宋_GB2312" w:hAnsi="仿宋_GB2312" w:eastAsia="仿宋_GB2312" w:cs="仿宋_GB2312"/>
          <w:b/>
          <w:bCs/>
          <w:sz w:val="32"/>
          <w:szCs w:val="32"/>
          <w:lang w:eastAsia="zh-CN"/>
        </w:rPr>
      </w:pPr>
    </w:p>
    <w:sectPr>
      <w:footerReference r:id="rId4"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Wingdings">
    <w:altName w:val="Kingsoft Confetti"/>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Arial"/>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Kingsoft Confetti">
    <w:panose1 w:val="05000100010000000000"/>
    <w:charset w:val="00"/>
    <w:family w:val="auto"/>
    <w:pitch w:val="default"/>
    <w:sig w:usb0="00000000" w:usb1="00000000" w:usb2="00000000" w:usb3="00000000" w:csb0="8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 w:name="仿宋_GB2312">
    <w:altName w:val="Times New Roman"/>
    <w:panose1 w:val="02010609030101010101"/>
    <w:charset w:val="86"/>
    <w:family w:val="auto"/>
    <w:pitch w:val="default"/>
    <w:sig w:usb0="00000000" w:usb1="00000000" w:usb2="00000000" w:usb3="00000000" w:csb0="00040000" w:csb1="00000000"/>
  </w:font>
  <w:font w:name="Liberation Sans">
    <w:altName w:val="Arial"/>
    <w:panose1 w:val="020B0604020202020204"/>
    <w:charset w:val="00"/>
    <w:family w:val="swiss"/>
    <w:pitch w:val="default"/>
    <w:sig w:usb0="00000000" w:usb1="00000000" w:usb2="00000000" w:usb3="00000000" w:csb0="6000009F" w:csb1="DFD70000"/>
  </w:font>
  <w:font w:name="Noto Sans CJK SC Regular">
    <w:altName w:val="Noto Serif CJK SC"/>
    <w:panose1 w:val="020B0500000000000000"/>
    <w:charset w:val="86"/>
    <w:family w:val="auto"/>
    <w:pitch w:val="default"/>
    <w:sig w:usb0="00000000" w:usb1="00000000" w:usb2="00000016" w:usb3="00000000" w:csb0="602E0107" w:csb1="00000000"/>
  </w:font>
  <w:font w:name="方正小标宋简体">
    <w:altName w:val="Times New Roman"/>
    <w:panose1 w:val="03000509000000000000"/>
    <w:charset w:val="86"/>
    <w:family w:val="auto"/>
    <w:pitch w:val="default"/>
    <w:sig w:usb0="00000000" w:usb1="00000000" w:usb2="00000000" w:usb3="00000000" w:csb0="00040000" w:csb1="00000000"/>
  </w:font>
  <w:font w:name="楷体_GB2312">
    <w:altName w:val="汉仪楷体KW"/>
    <w:panose1 w:val="02010609030101010101"/>
    <w:charset w:val="86"/>
    <w:family w:val="auto"/>
    <w:pitch w:val="default"/>
    <w:sig w:usb0="00000000" w:usb1="00000000" w:usb2="00000000" w:usb3="00000000" w:csb0="00040000" w:csb1="00000000"/>
  </w:font>
  <w:font w:name="方正仿宋_GBK">
    <w:altName w:val="Times New Roman"/>
    <w:panose1 w:val="00000000000000000000"/>
    <w:charset w:val="00"/>
    <w:family w:val="auto"/>
    <w:pitch w:val="default"/>
    <w:sig w:usb0="00000000" w:usb1="00000000" w:usb2="00000000" w:usb3="00000000" w:csb0="00000000" w:csb1="00000000"/>
  </w:font>
  <w:font w:name="Noto Serif CJK SC">
    <w:panose1 w:val="02020400000000000000"/>
    <w:charset w:val="86"/>
    <w:family w:val="auto"/>
    <w:pitch w:val="default"/>
    <w:sig w:usb0="30000083" w:usb1="2BDF3C10" w:usb2="00000016" w:usb3="00000000" w:csb0="602E0107" w:csb1="00000000"/>
  </w:font>
  <w:font w:name="方正小标宋_GBK">
    <w:altName w:val="Times New Roman"/>
    <w:panose1 w:val="00000000000000000000"/>
    <w:charset w:val="00"/>
    <w:family w:val="auto"/>
    <w:pitch w:val="default"/>
    <w:sig w:usb0="00000000" w:usb1="00000000" w:usb2="00000000" w:usb3="00000000" w:csb0="00000000" w:csb1="00000000"/>
  </w:font>
  <w:font w:name="汉仪楷体KW">
    <w:panose1 w:val="00020600040101010101"/>
    <w:charset w:val="86"/>
    <w:family w:val="auto"/>
    <w:pitch w:val="default"/>
    <w:sig w:usb0="A00002BF" w:usb1="18EF7CFA" w:usb2="00000016" w:usb3="00000000" w:csb0="00040000" w:csb1="00000000"/>
  </w:font>
  <w:font w:name="华文中宋">
    <w:panose1 w:val="02010600040101010101"/>
    <w:charset w:val="86"/>
    <w:family w:val="auto"/>
    <w:pitch w:val="default"/>
    <w:sig w:usb0="00000287" w:usb1="080F0000" w:usb2="00000000" w:usb3="00000000" w:csb0="0004009F" w:csb1="DFD70000"/>
  </w:font>
  <w:font w:name="乐见体">
    <w:panose1 w:val="02020400000000000000"/>
    <w:charset w:val="86"/>
    <w:family w:val="auto"/>
    <w:pitch w:val="default"/>
    <w:sig w:usb0="80000003" w:usb1="08012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BO2PC63gEAAL4DAAAOAAAAAAAA&#10;AAEAIAAAAB4BAABkcnMvZTJvRG9jLnhtbFBLBQYAAAAABgAGAFkBAABuBQAAAAA=&#10;">
              <v:fill on="f" focussize="0,0"/>
              <v:stroke on="f"/>
              <v:imagedata o:title=""/>
              <o:lock v:ext="edit" aspectratio="f"/>
              <v:textbox inset="0mm,0mm,0mm,0mm" style="mso-fit-shape-to-text:t;">
                <w:txbxContent>
                  <w:p>
                    <w:pPr>
                      <w:pStyle w:val="7"/>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4NDZiNDgxNDE1YTEyNmYzNTQ0YTY2Y2EwOGJiZGMifQ=="/>
  </w:docVars>
  <w:rsids>
    <w:rsidRoot w:val="00000000"/>
    <w:rsid w:val="012352D1"/>
    <w:rsid w:val="1F7BF06F"/>
    <w:rsid w:val="1FEE4B73"/>
    <w:rsid w:val="23CE9849"/>
    <w:rsid w:val="39F304DD"/>
    <w:rsid w:val="3FF7BAA5"/>
    <w:rsid w:val="457D03D9"/>
    <w:rsid w:val="47D61BFA"/>
    <w:rsid w:val="54244390"/>
    <w:rsid w:val="54662A63"/>
    <w:rsid w:val="58064E12"/>
    <w:rsid w:val="58785246"/>
    <w:rsid w:val="5BFEE015"/>
    <w:rsid w:val="63EDCF55"/>
    <w:rsid w:val="63FBFBCF"/>
    <w:rsid w:val="669360FD"/>
    <w:rsid w:val="68FF6A83"/>
    <w:rsid w:val="6FBBC9CF"/>
    <w:rsid w:val="72BDE561"/>
    <w:rsid w:val="78462278"/>
    <w:rsid w:val="7997EA6C"/>
    <w:rsid w:val="7AEAE675"/>
    <w:rsid w:val="7BAFCE5D"/>
    <w:rsid w:val="7D46598C"/>
    <w:rsid w:val="7DFB240B"/>
    <w:rsid w:val="7DFE394B"/>
    <w:rsid w:val="7E0935ED"/>
    <w:rsid w:val="7ED7E890"/>
    <w:rsid w:val="7EFF22E3"/>
    <w:rsid w:val="7F7E6103"/>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Salutation"/>
    <w:basedOn w:val="1"/>
    <w:next w:val="1"/>
    <w:qFormat/>
    <w:uiPriority w:val="0"/>
    <w:pPr>
      <w:spacing w:line="540" w:lineRule="exact"/>
    </w:pPr>
    <w:rPr>
      <w:rFonts w:ascii="Times New Roman" w:hAnsi="Times New Roman" w:eastAsia="仿宋_GB2312" w:cs="Times New Roman"/>
      <w:spacing w:val="-2"/>
      <w:sz w:val="32"/>
      <w:szCs w:val="20"/>
    </w:rPr>
  </w:style>
  <w:style w:type="paragraph" w:styleId="5">
    <w:name w:val="caption"/>
    <w:basedOn w:val="1"/>
    <w:next w:val="1"/>
    <w:qFormat/>
    <w:uiPriority w:val="0"/>
    <w:pPr>
      <w:widowControl w:val="0"/>
      <w:suppressLineNumbers/>
      <w:suppressAutoHyphens/>
      <w:spacing w:before="120" w:after="120"/>
    </w:pPr>
    <w:rPr>
      <w:i/>
      <w:iCs/>
      <w:sz w:val="24"/>
      <w:szCs w:val="24"/>
    </w:rPr>
  </w:style>
  <w:style w:type="paragraph" w:styleId="6">
    <w:name w:val="Body Text"/>
    <w:basedOn w:val="1"/>
    <w:qFormat/>
    <w:uiPriority w:val="0"/>
    <w:pPr>
      <w:spacing w:before="0"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6"/>
    <w:qFormat/>
    <w:uiPriority w:val="0"/>
  </w:style>
  <w:style w:type="paragraph" w:styleId="10">
    <w:name w:val="Normal (Web)"/>
    <w:basedOn w:val="1"/>
    <w:qFormat/>
    <w:uiPriority w:val="0"/>
    <w:rPr>
      <w:sz w:val="24"/>
    </w:rPr>
  </w:style>
  <w:style w:type="character" w:customStyle="1" w:styleId="13">
    <w:name w:val="默认段落字体1"/>
    <w:qFormat/>
    <w:uiPriority w:val="0"/>
  </w:style>
  <w:style w:type="paragraph" w:customStyle="1" w:styleId="14">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5">
    <w:name w:val="Index"/>
    <w:basedOn w:val="1"/>
    <w:qFormat/>
    <w:uiPriority w:val="0"/>
    <w:pPr>
      <w:widowControl w:val="0"/>
      <w:suppressLineNumbers/>
      <w:suppressAutoHyphens/>
    </w:pPr>
  </w:style>
  <w:style w:type="paragraph" w:customStyle="1" w:styleId="16">
    <w:name w:val="图表目录1"/>
    <w:basedOn w:val="1"/>
    <w:next w:val="1"/>
    <w:qFormat/>
    <w:uiPriority w:val="99"/>
    <w:pPr>
      <w:ind w:left="200" w:leftChars="200" w:hanging="200" w:hangingChars="200"/>
    </w:pPr>
  </w:style>
  <w:style w:type="paragraph" w:customStyle="1" w:styleId="17">
    <w:name w:val="WPSOffice手动目录 1"/>
    <w:uiPriority w:val="0"/>
    <w:pPr>
      <w:ind w:leftChars="0"/>
    </w:pPr>
    <w:rPr>
      <w:rFonts w:ascii="Times New Roman" w:hAnsi="Times New Roman" w:eastAsia="宋体" w:cs="Times New Roman"/>
      <w:sz w:val="20"/>
      <w:szCs w:val="20"/>
    </w:rPr>
  </w:style>
  <w:style w:type="paragraph" w:customStyle="1" w:styleId="18">
    <w:name w:val="WPSOffice手动目录 2"/>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 WWO_wpscloud_20240126182319-534a0df1c3</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WPS_268670533</cp:lastModifiedBy>
  <dcterms:modified xsi:type="dcterms:W3CDTF">2024-02-28T22:25:09Z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759C15EC906F4F3187CEDAE01CCDD57E_13</vt:lpwstr>
  </property>
</Properties>
</file>