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hint="eastAsia" w:ascii="方正小标宋简体" w:hAnsi="方正小标宋简体" w:eastAsia="方正小标宋简体" w:cs="方正小标宋简体"/>
          <w:color w:val="000000"/>
          <w:kern w:val="0"/>
          <w:sz w:val="64"/>
          <w:szCs w:val="64"/>
          <w:shd w:val="clear" w:color="auto" w:fill="FFFFFF"/>
        </w:rPr>
      </w:pPr>
    </w:p>
    <w:p>
      <w:pPr>
        <w:widowControl/>
        <w:shd w:val="clear" w:color="auto" w:fill="FFFFFF"/>
        <w:spacing w:line="580" w:lineRule="atLeast"/>
        <w:jc w:val="center"/>
        <w:rPr>
          <w:rFonts w:hint="eastAsia" w:ascii="方正小标宋简体" w:hAnsi="方正小标宋简体" w:eastAsia="方正小标宋简体" w:cs="方正小标宋简体"/>
          <w:color w:val="000000"/>
          <w:kern w:val="0"/>
          <w:sz w:val="64"/>
          <w:szCs w:val="64"/>
          <w:shd w:val="clear" w:color="auto" w:fill="FFFFFF"/>
        </w:rPr>
      </w:pPr>
    </w:p>
    <w:p>
      <w:pPr>
        <w:pStyle w:val="2"/>
        <w:rPr>
          <w:rFonts w:hint="eastAsia" w:ascii="方正小标宋简体" w:hAnsi="方正小标宋简体" w:eastAsia="方正小标宋简体" w:cs="方正小标宋简体"/>
          <w:color w:val="000000"/>
          <w:kern w:val="0"/>
          <w:sz w:val="64"/>
          <w:szCs w:val="64"/>
          <w:shd w:val="clear" w:color="auto" w:fill="FFFFFF"/>
        </w:rPr>
      </w:pPr>
    </w:p>
    <w:p>
      <w:pPr>
        <w:pStyle w:val="2"/>
        <w:rPr>
          <w:rFonts w:hint="eastAsia" w:ascii="方正小标宋简体" w:hAnsi="方正小标宋简体" w:eastAsia="方正小标宋简体" w:cs="方正小标宋简体"/>
          <w:color w:val="000000"/>
          <w:kern w:val="0"/>
          <w:sz w:val="64"/>
          <w:szCs w:val="64"/>
          <w:shd w:val="clear" w:color="auto" w:fill="FFFFFF"/>
        </w:rPr>
      </w:pPr>
    </w:p>
    <w:p>
      <w:pPr>
        <w:widowControl/>
        <w:shd w:val="clear" w:color="auto" w:fill="FFFFFF"/>
        <w:spacing w:line="580" w:lineRule="atLeast"/>
        <w:jc w:val="center"/>
        <w:rPr>
          <w:rFonts w:hint="eastAsia" w:ascii="方正小标宋简体" w:hAnsi="方正小标宋简体" w:eastAsia="方正小标宋简体" w:cs="方正小标宋简体"/>
          <w:color w:val="000000"/>
          <w:kern w:val="0"/>
          <w:sz w:val="44"/>
          <w:szCs w:val="44"/>
          <w:shd w:val="clear" w:color="auto" w:fill="FFFFFF"/>
        </w:rPr>
      </w:pPr>
      <w:r>
        <w:rPr>
          <w:rFonts w:hint="eastAsia" w:ascii="方正小标宋简体" w:hAnsi="方正小标宋简体" w:eastAsia="方正小标宋简体" w:cs="方正小标宋简体"/>
          <w:color w:val="000000"/>
          <w:kern w:val="0"/>
          <w:sz w:val="64"/>
          <w:szCs w:val="64"/>
          <w:shd w:val="clear" w:color="auto" w:fill="FFFFFF"/>
        </w:rPr>
        <w:t>广元市光荣院</w:t>
      </w:r>
    </w:p>
    <w:p>
      <w:pPr>
        <w:widowControl/>
        <w:shd w:val="clear" w:color="auto" w:fill="FFFFFF"/>
        <w:spacing w:line="580" w:lineRule="atLeast"/>
        <w:jc w:val="center"/>
        <w:rPr>
          <w:rFonts w:ascii="方正小标宋简体" w:hAnsi="方正小标宋简体" w:eastAsia="方正小标宋简体" w:cs="方正小标宋简体"/>
          <w:color w:val="000000"/>
          <w:kern w:val="0"/>
          <w:sz w:val="64"/>
          <w:szCs w:val="64"/>
          <w:shd w:val="clear" w:color="auto" w:fill="FFFFFF"/>
        </w:rPr>
      </w:pPr>
      <w:r>
        <w:rPr>
          <w:rFonts w:ascii="方正小标宋简体" w:hAnsi="方正小标宋简体" w:eastAsia="方正小标宋简体" w:cs="方正小标宋简体"/>
          <w:color w:val="000000"/>
          <w:kern w:val="0"/>
          <w:sz w:val="64"/>
          <w:szCs w:val="64"/>
          <w:shd w:val="clear" w:color="auto" w:fill="FFFFFF"/>
        </w:rPr>
        <w:t>2024</w:t>
      </w:r>
      <w:r>
        <w:rPr>
          <w:rFonts w:hint="eastAsia" w:ascii="方正小标宋简体" w:hAnsi="方正小标宋简体" w:eastAsia="方正小标宋简体" w:cs="方正小标宋简体"/>
          <w:color w:val="000000"/>
          <w:kern w:val="0"/>
          <w:sz w:val="64"/>
          <w:szCs w:val="64"/>
          <w:shd w:val="clear" w:color="auto" w:fill="FFFFFF"/>
        </w:rPr>
        <w:t>年部门预算编制说明</w:t>
      </w:r>
    </w:p>
    <w:p>
      <w:pPr>
        <w:pStyle w:val="9"/>
        <w:widowControl/>
        <w:shd w:val="clear" w:color="auto" w:fill="FFFFFF"/>
        <w:spacing w:before="130" w:line="580" w:lineRule="atLeast"/>
        <w:rPr>
          <w:rFonts w:ascii="宋体" w:hAnsi="宋体" w:cs="宋体"/>
          <w:b/>
          <w:color w:val="000000"/>
          <w:sz w:val="28"/>
          <w:szCs w:val="28"/>
          <w:shd w:val="clear" w:color="auto" w:fill="FFFFFF"/>
        </w:rPr>
        <w:sectPr>
          <w:headerReference r:id="rId3" w:type="default"/>
          <w:footerReference r:id="rId4" w:type="default"/>
          <w:pgSz w:w="11906" w:h="16838"/>
          <w:pgMar w:top="2098" w:right="1474" w:bottom="1984" w:left="1587" w:header="720" w:footer="1559" w:gutter="0"/>
          <w:cols w:space="720" w:num="1"/>
          <w:docGrid w:type="lines" w:linePitch="312" w:charSpace="0"/>
        </w:sectPr>
      </w:pPr>
      <w:r>
        <w:rPr>
          <w:rFonts w:ascii="宋体" w:hAnsi="宋体" w:cs="宋体"/>
          <w:b/>
          <w:color w:val="000000"/>
          <w:sz w:val="28"/>
          <w:szCs w:val="28"/>
          <w:shd w:val="clear" w:color="auto" w:fill="FFFFFF"/>
        </w:rPr>
        <w:t xml:space="preserve">   </w:t>
      </w:r>
    </w:p>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8"/>
        <w:tabs>
          <w:tab w:val="right" w:leader="dot" w:pos="8845"/>
        </w:tabs>
        <w:spacing w:line="360" w:lineRule="auto"/>
        <w:rPr>
          <w:b/>
        </w:rPr>
      </w:pPr>
      <w:r>
        <w:fldChar w:fldCharType="begin"/>
      </w:r>
      <w:r>
        <w:instrText xml:space="preserve">TOC \o "1-2" \h \u </w:instrText>
      </w:r>
      <w:r>
        <w:fldChar w:fldCharType="separate"/>
      </w:r>
    </w:p>
    <w:p>
      <w:pPr>
        <w:pStyle w:val="18"/>
        <w:tabs>
          <w:tab w:val="right" w:leader="dot" w:pos="8845"/>
        </w:tabs>
        <w:spacing w:line="360" w:lineRule="auto"/>
        <w:rPr>
          <w:b/>
        </w:rPr>
      </w:pPr>
      <w:r>
        <w:rPr>
          <w:b/>
        </w:rPr>
        <w:fldChar w:fldCharType="begin"/>
      </w:r>
      <w:r>
        <w:rPr>
          <w:b/>
        </w:rPr>
        <w:instrText xml:space="preserve"> HYPERLINK \l _Toc23041 </w:instrText>
      </w:r>
      <w:r>
        <w:rPr>
          <w:b/>
        </w:rPr>
        <w:fldChar w:fldCharType="separate"/>
      </w:r>
      <w:r>
        <w:rPr>
          <w:rFonts w:hint="eastAsia" w:ascii="黑体" w:hAnsi="黑体" w:eastAsia="黑体" w:cs="黑体"/>
          <w:b/>
          <w:szCs w:val="32"/>
        </w:rPr>
        <w:t>一、基本职能及主要工作</w:t>
      </w:r>
      <w:r>
        <w:rPr>
          <w:b/>
        </w:rPr>
        <w:tab/>
      </w:r>
      <w:r>
        <w:rPr>
          <w:b/>
        </w:rPr>
        <w:fldChar w:fldCharType="begin"/>
      </w:r>
      <w:r>
        <w:rPr>
          <w:b/>
        </w:rPr>
        <w:instrText xml:space="preserve"> PAGEREF _Toc23041 \h </w:instrText>
      </w:r>
      <w:r>
        <w:rPr>
          <w:b/>
        </w:rPr>
        <w:fldChar w:fldCharType="separate"/>
      </w:r>
      <w:r>
        <w:rPr>
          <w:b/>
        </w:rPr>
        <w:t>1</w:t>
      </w:r>
      <w:r>
        <w:rPr>
          <w:b/>
        </w:rPr>
        <w:fldChar w:fldCharType="end"/>
      </w:r>
      <w:r>
        <w:rPr>
          <w:b/>
        </w:rPr>
        <w:fldChar w:fldCharType="end"/>
      </w:r>
    </w:p>
    <w:p>
      <w:pPr>
        <w:pStyle w:val="19"/>
        <w:tabs>
          <w:tab w:val="right" w:leader="dot" w:pos="8845"/>
        </w:tabs>
        <w:spacing w:line="360" w:lineRule="auto"/>
      </w:pPr>
      <w:r>
        <w:fldChar w:fldCharType="begin"/>
      </w:r>
      <w:r>
        <w:instrText xml:space="preserve"> HYPERLINK \l _Toc11552 </w:instrText>
      </w:r>
      <w:r>
        <w:fldChar w:fldCharType="separate"/>
      </w:r>
      <w:r>
        <w:rPr>
          <w:rFonts w:hint="eastAsia" w:ascii="楷体_GB2312" w:hAnsi="楷体_GB2312" w:eastAsia="楷体_GB2312" w:cs="楷体_GB2312"/>
          <w:szCs w:val="32"/>
        </w:rPr>
        <w:t>（一）广元市光荣院职能简介</w:t>
      </w:r>
      <w:r>
        <w:tab/>
      </w:r>
      <w:r>
        <w:fldChar w:fldCharType="begin"/>
      </w:r>
      <w:r>
        <w:instrText xml:space="preserve"> PAGEREF _Toc11552 \h </w:instrText>
      </w:r>
      <w:r>
        <w:fldChar w:fldCharType="separate"/>
      </w:r>
      <w:r>
        <w:t>1</w:t>
      </w:r>
      <w:r>
        <w:fldChar w:fldCharType="end"/>
      </w:r>
      <w:r>
        <w:fldChar w:fldCharType="end"/>
      </w:r>
    </w:p>
    <w:p>
      <w:pPr>
        <w:pStyle w:val="19"/>
        <w:tabs>
          <w:tab w:val="right" w:leader="dot" w:pos="8845"/>
        </w:tabs>
        <w:spacing w:line="360" w:lineRule="auto"/>
      </w:pPr>
      <w:r>
        <w:fldChar w:fldCharType="begin"/>
      </w:r>
      <w:r>
        <w:instrText xml:space="preserve"> HYPERLINK \l _Toc11436 </w:instrText>
      </w:r>
      <w:r>
        <w:fldChar w:fldCharType="separate"/>
      </w:r>
      <w:r>
        <w:rPr>
          <w:rFonts w:hint="eastAsia" w:ascii="楷体_GB2312" w:hAnsi="楷体_GB2312" w:eastAsia="楷体_GB2312" w:cs="楷体_GB2312"/>
          <w:szCs w:val="32"/>
          <w:highlight w:val="none"/>
        </w:rPr>
        <w:t>（二）广元市光荣院</w:t>
      </w:r>
      <w:r>
        <w:rPr>
          <w:rFonts w:ascii="楷体_GB2312" w:hAnsi="楷体_GB2312" w:eastAsia="楷体_GB2312" w:cs="楷体_GB2312"/>
          <w:szCs w:val="32"/>
          <w:highlight w:val="none"/>
        </w:rPr>
        <w:t>2024</w:t>
      </w:r>
      <w:r>
        <w:rPr>
          <w:rFonts w:hint="eastAsia" w:ascii="楷体_GB2312" w:hAnsi="楷体_GB2312" w:eastAsia="楷体_GB2312" w:cs="楷体_GB2312"/>
          <w:szCs w:val="32"/>
          <w:highlight w:val="none"/>
        </w:rPr>
        <w:t>年重点工作</w:t>
      </w:r>
      <w:r>
        <w:tab/>
      </w:r>
      <w:r>
        <w:fldChar w:fldCharType="begin"/>
      </w:r>
      <w:r>
        <w:instrText xml:space="preserve"> PAGEREF _Toc11436 \h </w:instrText>
      </w:r>
      <w:r>
        <w:fldChar w:fldCharType="separate"/>
      </w:r>
      <w:r>
        <w:t>1</w:t>
      </w:r>
      <w:r>
        <w:fldChar w:fldCharType="end"/>
      </w:r>
      <w:r>
        <w:fldChar w:fldCharType="end"/>
      </w:r>
    </w:p>
    <w:p>
      <w:pPr>
        <w:pStyle w:val="18"/>
        <w:tabs>
          <w:tab w:val="right" w:leader="dot" w:pos="8845"/>
        </w:tabs>
        <w:spacing w:line="360" w:lineRule="auto"/>
        <w:rPr>
          <w:b/>
        </w:rPr>
      </w:pPr>
      <w:r>
        <w:rPr>
          <w:b/>
        </w:rPr>
        <w:fldChar w:fldCharType="begin"/>
      </w:r>
      <w:r>
        <w:rPr>
          <w:b/>
        </w:rPr>
        <w:instrText xml:space="preserve"> HYPERLINK \l _Toc21436 </w:instrText>
      </w:r>
      <w:r>
        <w:rPr>
          <w:b/>
        </w:rPr>
        <w:fldChar w:fldCharType="separate"/>
      </w:r>
      <w:r>
        <w:rPr>
          <w:rFonts w:hint="eastAsia" w:ascii="黑体" w:hAnsi="黑体" w:eastAsia="黑体" w:cs="黑体"/>
          <w:b/>
          <w:szCs w:val="32"/>
        </w:rPr>
        <w:t>二、部门预算单位构成</w:t>
      </w:r>
      <w:r>
        <w:rPr>
          <w:b/>
        </w:rPr>
        <w:tab/>
      </w:r>
      <w:r>
        <w:rPr>
          <w:b/>
        </w:rPr>
        <w:fldChar w:fldCharType="begin"/>
      </w:r>
      <w:r>
        <w:rPr>
          <w:b/>
        </w:rPr>
        <w:instrText xml:space="preserve"> PAGEREF _Toc21436 \h </w:instrText>
      </w:r>
      <w:r>
        <w:rPr>
          <w:b/>
        </w:rPr>
        <w:fldChar w:fldCharType="separate"/>
      </w:r>
      <w:r>
        <w:rPr>
          <w:b/>
        </w:rPr>
        <w:t>2</w:t>
      </w:r>
      <w:r>
        <w:rPr>
          <w:b/>
        </w:rPr>
        <w:fldChar w:fldCharType="end"/>
      </w:r>
      <w:r>
        <w:rPr>
          <w:b/>
        </w:rPr>
        <w:fldChar w:fldCharType="end"/>
      </w:r>
    </w:p>
    <w:p>
      <w:pPr>
        <w:pStyle w:val="18"/>
        <w:tabs>
          <w:tab w:val="right" w:leader="dot" w:pos="8845"/>
        </w:tabs>
        <w:spacing w:line="360" w:lineRule="auto"/>
        <w:rPr>
          <w:b/>
        </w:rPr>
      </w:pPr>
      <w:r>
        <w:rPr>
          <w:b/>
        </w:rPr>
        <w:fldChar w:fldCharType="begin"/>
      </w:r>
      <w:r>
        <w:rPr>
          <w:b/>
        </w:rPr>
        <w:instrText xml:space="preserve"> HYPERLINK \l _Toc31778 </w:instrText>
      </w:r>
      <w:r>
        <w:rPr>
          <w:b/>
        </w:rPr>
        <w:fldChar w:fldCharType="separate"/>
      </w:r>
      <w:r>
        <w:rPr>
          <w:rFonts w:hint="eastAsia" w:ascii="黑体" w:hAnsi="黑体" w:eastAsia="黑体" w:cs="黑体"/>
          <w:b/>
          <w:szCs w:val="32"/>
        </w:rPr>
        <w:t>三、收支预算情况说明</w:t>
      </w:r>
      <w:r>
        <w:rPr>
          <w:b/>
        </w:rPr>
        <w:tab/>
      </w:r>
      <w:r>
        <w:rPr>
          <w:b/>
        </w:rPr>
        <w:fldChar w:fldCharType="begin"/>
      </w:r>
      <w:r>
        <w:rPr>
          <w:b/>
        </w:rPr>
        <w:instrText xml:space="preserve"> PAGEREF _Toc31778 \h </w:instrText>
      </w:r>
      <w:r>
        <w:rPr>
          <w:b/>
        </w:rPr>
        <w:fldChar w:fldCharType="separate"/>
      </w:r>
      <w:r>
        <w:rPr>
          <w:b/>
        </w:rPr>
        <w:t>3</w:t>
      </w:r>
      <w:r>
        <w:rPr>
          <w:b/>
        </w:rPr>
        <w:fldChar w:fldCharType="end"/>
      </w:r>
      <w:r>
        <w:rPr>
          <w:b/>
        </w:rPr>
        <w:fldChar w:fldCharType="end"/>
      </w:r>
    </w:p>
    <w:p>
      <w:pPr>
        <w:pStyle w:val="19"/>
        <w:tabs>
          <w:tab w:val="right" w:leader="dot" w:pos="8845"/>
        </w:tabs>
        <w:spacing w:line="360" w:lineRule="auto"/>
      </w:pPr>
      <w:r>
        <w:fldChar w:fldCharType="begin"/>
      </w:r>
      <w:r>
        <w:instrText xml:space="preserve"> HYPERLINK \l _Toc15908 </w:instrText>
      </w:r>
      <w:r>
        <w:fldChar w:fldCharType="separate"/>
      </w:r>
      <w:r>
        <w:rPr>
          <w:rFonts w:hint="eastAsia" w:ascii="楷体_GB2312" w:hAnsi="楷体_GB2312" w:eastAsia="楷体_GB2312" w:cs="楷体_GB2312"/>
          <w:szCs w:val="32"/>
        </w:rPr>
        <w:t>（一）收入预算情况</w:t>
      </w:r>
      <w:r>
        <w:tab/>
      </w:r>
      <w:r>
        <w:fldChar w:fldCharType="begin"/>
      </w:r>
      <w:r>
        <w:instrText xml:space="preserve"> PAGEREF _Toc15908 \h </w:instrText>
      </w:r>
      <w:r>
        <w:fldChar w:fldCharType="separate"/>
      </w:r>
      <w:r>
        <w:t>3</w:t>
      </w:r>
      <w:r>
        <w:fldChar w:fldCharType="end"/>
      </w:r>
      <w:r>
        <w:fldChar w:fldCharType="end"/>
      </w:r>
    </w:p>
    <w:p>
      <w:pPr>
        <w:pStyle w:val="19"/>
        <w:tabs>
          <w:tab w:val="right" w:leader="dot" w:pos="8845"/>
        </w:tabs>
        <w:spacing w:line="360" w:lineRule="auto"/>
      </w:pPr>
      <w:r>
        <w:fldChar w:fldCharType="begin"/>
      </w:r>
      <w:r>
        <w:instrText xml:space="preserve"> HYPERLINK \l _Toc19123 </w:instrText>
      </w:r>
      <w:r>
        <w:fldChar w:fldCharType="separate"/>
      </w:r>
      <w:r>
        <w:rPr>
          <w:rFonts w:hint="eastAsia" w:ascii="楷体_GB2312" w:hAnsi="楷体_GB2312" w:eastAsia="楷体_GB2312" w:cs="楷体_GB2312"/>
          <w:szCs w:val="32"/>
        </w:rPr>
        <w:t>（二）支出预算情况</w:t>
      </w:r>
      <w:r>
        <w:tab/>
      </w:r>
      <w:r>
        <w:fldChar w:fldCharType="begin"/>
      </w:r>
      <w:r>
        <w:instrText xml:space="preserve"> PAGEREF _Toc19123 \h </w:instrText>
      </w:r>
      <w:r>
        <w:fldChar w:fldCharType="separate"/>
      </w:r>
      <w:r>
        <w:t>3</w:t>
      </w:r>
      <w:r>
        <w:fldChar w:fldCharType="end"/>
      </w:r>
      <w:r>
        <w:fldChar w:fldCharType="end"/>
      </w:r>
    </w:p>
    <w:p>
      <w:pPr>
        <w:pStyle w:val="18"/>
        <w:tabs>
          <w:tab w:val="right" w:leader="dot" w:pos="8845"/>
        </w:tabs>
        <w:spacing w:line="360" w:lineRule="auto"/>
        <w:rPr>
          <w:b/>
        </w:rPr>
      </w:pPr>
      <w:r>
        <w:rPr>
          <w:b/>
        </w:rPr>
        <w:fldChar w:fldCharType="begin"/>
      </w:r>
      <w:r>
        <w:rPr>
          <w:b/>
        </w:rPr>
        <w:instrText xml:space="preserve"> HYPERLINK \l _Toc24754 </w:instrText>
      </w:r>
      <w:r>
        <w:rPr>
          <w:b/>
        </w:rPr>
        <w:fldChar w:fldCharType="separate"/>
      </w:r>
      <w:r>
        <w:rPr>
          <w:rFonts w:hint="eastAsia" w:ascii="黑体" w:hAnsi="黑体" w:eastAsia="黑体" w:cs="黑体"/>
          <w:b/>
          <w:szCs w:val="32"/>
        </w:rPr>
        <w:t>四、财政拨款收支预算情况说明</w:t>
      </w:r>
      <w:r>
        <w:rPr>
          <w:b/>
        </w:rPr>
        <w:tab/>
      </w:r>
      <w:r>
        <w:rPr>
          <w:b/>
        </w:rPr>
        <w:fldChar w:fldCharType="begin"/>
      </w:r>
      <w:r>
        <w:rPr>
          <w:b/>
        </w:rPr>
        <w:instrText xml:space="preserve"> PAGEREF _Toc24754 \h </w:instrText>
      </w:r>
      <w:r>
        <w:rPr>
          <w:b/>
        </w:rPr>
        <w:fldChar w:fldCharType="separate"/>
      </w:r>
      <w:r>
        <w:rPr>
          <w:b/>
        </w:rPr>
        <w:t>3</w:t>
      </w:r>
      <w:r>
        <w:rPr>
          <w:b/>
        </w:rPr>
        <w:fldChar w:fldCharType="end"/>
      </w:r>
      <w:r>
        <w:rPr>
          <w:b/>
        </w:rPr>
        <w:fldChar w:fldCharType="end"/>
      </w:r>
    </w:p>
    <w:p>
      <w:pPr>
        <w:pStyle w:val="18"/>
        <w:tabs>
          <w:tab w:val="right" w:leader="dot" w:pos="8845"/>
        </w:tabs>
        <w:spacing w:line="360" w:lineRule="auto"/>
        <w:rPr>
          <w:b/>
        </w:rPr>
      </w:pPr>
      <w:r>
        <w:rPr>
          <w:b/>
        </w:rPr>
        <w:fldChar w:fldCharType="begin"/>
      </w:r>
      <w:r>
        <w:rPr>
          <w:b/>
        </w:rPr>
        <w:instrText xml:space="preserve"> HYPERLINK \l _Toc4446 </w:instrText>
      </w:r>
      <w:r>
        <w:rPr>
          <w:b/>
        </w:rPr>
        <w:fldChar w:fldCharType="separate"/>
      </w:r>
      <w:r>
        <w:rPr>
          <w:rFonts w:hint="eastAsia" w:ascii="黑体" w:hAnsi="黑体" w:eastAsia="黑体" w:cs="黑体"/>
          <w:b/>
          <w:szCs w:val="32"/>
        </w:rPr>
        <w:t>五、一般公共预算当年拨款情况说明</w:t>
      </w:r>
      <w:r>
        <w:rPr>
          <w:b/>
        </w:rPr>
        <w:tab/>
      </w:r>
      <w:r>
        <w:rPr>
          <w:b/>
        </w:rPr>
        <w:fldChar w:fldCharType="begin"/>
      </w:r>
      <w:r>
        <w:rPr>
          <w:b/>
        </w:rPr>
        <w:instrText xml:space="preserve"> PAGEREF _Toc4446 \h </w:instrText>
      </w:r>
      <w:r>
        <w:rPr>
          <w:b/>
        </w:rPr>
        <w:fldChar w:fldCharType="separate"/>
      </w:r>
      <w:r>
        <w:rPr>
          <w:b/>
        </w:rPr>
        <w:t>3</w:t>
      </w:r>
      <w:r>
        <w:rPr>
          <w:b/>
        </w:rPr>
        <w:fldChar w:fldCharType="end"/>
      </w:r>
      <w:r>
        <w:rPr>
          <w:b/>
        </w:rPr>
        <w:fldChar w:fldCharType="end"/>
      </w:r>
    </w:p>
    <w:p>
      <w:pPr>
        <w:pStyle w:val="19"/>
        <w:tabs>
          <w:tab w:val="right" w:leader="dot" w:pos="8845"/>
        </w:tabs>
        <w:spacing w:line="360" w:lineRule="auto"/>
      </w:pPr>
      <w:r>
        <w:fldChar w:fldCharType="begin"/>
      </w:r>
      <w:r>
        <w:instrText xml:space="preserve"> HYPERLINK \l _Toc30292 </w:instrText>
      </w:r>
      <w:r>
        <w:fldChar w:fldCharType="separate"/>
      </w:r>
      <w:r>
        <w:rPr>
          <w:rFonts w:hint="eastAsia" w:ascii="楷体_GB2312" w:hAnsi="楷体_GB2312" w:eastAsia="楷体_GB2312" w:cs="楷体_GB2312"/>
          <w:szCs w:val="32"/>
        </w:rPr>
        <w:t>（一）一般公共预算当年拨款规模变化情况</w:t>
      </w:r>
      <w:r>
        <w:tab/>
      </w:r>
      <w:r>
        <w:fldChar w:fldCharType="begin"/>
      </w:r>
      <w:r>
        <w:instrText xml:space="preserve"> PAGEREF _Toc30292 \h </w:instrText>
      </w:r>
      <w:r>
        <w:fldChar w:fldCharType="separate"/>
      </w:r>
      <w:r>
        <w:t>3</w:t>
      </w:r>
      <w:r>
        <w:fldChar w:fldCharType="end"/>
      </w:r>
      <w:r>
        <w:fldChar w:fldCharType="end"/>
      </w:r>
    </w:p>
    <w:p>
      <w:pPr>
        <w:pStyle w:val="19"/>
        <w:tabs>
          <w:tab w:val="right" w:leader="dot" w:pos="8845"/>
        </w:tabs>
        <w:spacing w:line="360" w:lineRule="auto"/>
      </w:pPr>
      <w:r>
        <w:fldChar w:fldCharType="begin"/>
      </w:r>
      <w:r>
        <w:instrText xml:space="preserve"> HYPERLINK \l _Toc13746 </w:instrText>
      </w:r>
      <w:r>
        <w:fldChar w:fldCharType="separate"/>
      </w:r>
      <w:r>
        <w:rPr>
          <w:rFonts w:hint="eastAsia" w:ascii="楷体_GB2312" w:hAnsi="楷体_GB2312" w:eastAsia="楷体_GB2312" w:cs="楷体_GB2312"/>
          <w:szCs w:val="32"/>
        </w:rPr>
        <w:t>（二）一般公共预算当年拨款结构情况</w:t>
      </w:r>
      <w:r>
        <w:tab/>
      </w:r>
      <w:r>
        <w:fldChar w:fldCharType="begin"/>
      </w:r>
      <w:r>
        <w:instrText xml:space="preserve"> PAGEREF _Toc13746 \h </w:instrText>
      </w:r>
      <w:r>
        <w:fldChar w:fldCharType="separate"/>
      </w:r>
      <w:r>
        <w:t>4</w:t>
      </w:r>
      <w:r>
        <w:fldChar w:fldCharType="end"/>
      </w:r>
      <w:r>
        <w:fldChar w:fldCharType="end"/>
      </w:r>
    </w:p>
    <w:p>
      <w:pPr>
        <w:pStyle w:val="19"/>
        <w:tabs>
          <w:tab w:val="right" w:leader="dot" w:pos="8845"/>
        </w:tabs>
        <w:spacing w:line="360" w:lineRule="auto"/>
      </w:pPr>
      <w:r>
        <w:fldChar w:fldCharType="begin"/>
      </w:r>
      <w:r>
        <w:instrText xml:space="preserve"> HYPERLINK \l _Toc29514 </w:instrText>
      </w:r>
      <w:r>
        <w:fldChar w:fldCharType="separate"/>
      </w:r>
      <w:r>
        <w:rPr>
          <w:rFonts w:hint="eastAsia" w:ascii="楷体_GB2312" w:hAnsi="楷体_GB2312" w:eastAsia="楷体_GB2312" w:cs="楷体_GB2312"/>
          <w:szCs w:val="32"/>
        </w:rPr>
        <w:t>（三）一般公共预算当年拨款具体使用情况</w:t>
      </w:r>
      <w:r>
        <w:tab/>
      </w:r>
      <w:r>
        <w:fldChar w:fldCharType="begin"/>
      </w:r>
      <w:r>
        <w:instrText xml:space="preserve"> PAGEREF _Toc29514 \h </w:instrText>
      </w:r>
      <w:r>
        <w:fldChar w:fldCharType="separate"/>
      </w:r>
      <w:r>
        <w:t>4</w:t>
      </w:r>
      <w:r>
        <w:fldChar w:fldCharType="end"/>
      </w:r>
      <w:r>
        <w:fldChar w:fldCharType="end"/>
      </w:r>
    </w:p>
    <w:p>
      <w:pPr>
        <w:pStyle w:val="18"/>
        <w:tabs>
          <w:tab w:val="right" w:leader="dot" w:pos="8845"/>
        </w:tabs>
        <w:spacing w:line="360" w:lineRule="auto"/>
        <w:rPr>
          <w:b/>
        </w:rPr>
      </w:pPr>
      <w:r>
        <w:rPr>
          <w:b/>
        </w:rPr>
        <w:fldChar w:fldCharType="begin"/>
      </w:r>
      <w:r>
        <w:rPr>
          <w:b/>
        </w:rPr>
        <w:instrText xml:space="preserve"> HYPERLINK \l _Toc13337 </w:instrText>
      </w:r>
      <w:r>
        <w:rPr>
          <w:b/>
        </w:rPr>
        <w:fldChar w:fldCharType="separate"/>
      </w:r>
      <w:r>
        <w:rPr>
          <w:rFonts w:hint="eastAsia" w:ascii="黑体" w:hAnsi="黑体" w:eastAsia="黑体" w:cs="黑体"/>
          <w:b/>
          <w:kern w:val="0"/>
          <w:szCs w:val="32"/>
          <w:shd w:val="clear" w:color="auto" w:fill="FFFFFF"/>
        </w:rPr>
        <w:t>六、一般公共预算基本支出情况说明</w:t>
      </w:r>
      <w:r>
        <w:rPr>
          <w:b/>
        </w:rPr>
        <w:tab/>
      </w:r>
      <w:r>
        <w:rPr>
          <w:b/>
        </w:rPr>
        <w:fldChar w:fldCharType="begin"/>
      </w:r>
      <w:r>
        <w:rPr>
          <w:b/>
        </w:rPr>
        <w:instrText xml:space="preserve"> PAGEREF _Toc13337 \h </w:instrText>
      </w:r>
      <w:r>
        <w:rPr>
          <w:b/>
        </w:rPr>
        <w:fldChar w:fldCharType="separate"/>
      </w:r>
      <w:r>
        <w:rPr>
          <w:b/>
        </w:rPr>
        <w:t>5</w:t>
      </w:r>
      <w:r>
        <w:rPr>
          <w:b/>
        </w:rPr>
        <w:fldChar w:fldCharType="end"/>
      </w:r>
      <w:r>
        <w:rPr>
          <w:b/>
        </w:rPr>
        <w:fldChar w:fldCharType="end"/>
      </w:r>
    </w:p>
    <w:p>
      <w:pPr>
        <w:pStyle w:val="18"/>
        <w:tabs>
          <w:tab w:val="right" w:leader="dot" w:pos="8845"/>
        </w:tabs>
        <w:spacing w:line="360" w:lineRule="auto"/>
        <w:rPr>
          <w:b/>
        </w:rPr>
      </w:pPr>
      <w:r>
        <w:rPr>
          <w:b/>
        </w:rPr>
        <w:fldChar w:fldCharType="begin"/>
      </w:r>
      <w:r>
        <w:rPr>
          <w:b/>
        </w:rPr>
        <w:instrText xml:space="preserve"> HYPERLINK \l _Toc32475 </w:instrText>
      </w:r>
      <w:r>
        <w:rPr>
          <w:b/>
        </w:rPr>
        <w:fldChar w:fldCharType="separate"/>
      </w:r>
      <w:r>
        <w:rPr>
          <w:rFonts w:hint="eastAsia" w:ascii="黑体" w:hAnsi="黑体" w:eastAsia="黑体" w:cs="黑体"/>
          <w:b/>
          <w:szCs w:val="32"/>
        </w:rPr>
        <w:t>七、“三公”经费财政拨款预算安排情况说明</w:t>
      </w:r>
      <w:r>
        <w:rPr>
          <w:b/>
        </w:rPr>
        <w:tab/>
      </w:r>
      <w:r>
        <w:rPr>
          <w:b/>
        </w:rPr>
        <w:fldChar w:fldCharType="begin"/>
      </w:r>
      <w:r>
        <w:rPr>
          <w:b/>
        </w:rPr>
        <w:instrText xml:space="preserve"> PAGEREF _Toc32475 \h </w:instrText>
      </w:r>
      <w:r>
        <w:rPr>
          <w:b/>
        </w:rPr>
        <w:fldChar w:fldCharType="separate"/>
      </w:r>
      <w:r>
        <w:rPr>
          <w:b/>
        </w:rPr>
        <w:t>5</w:t>
      </w:r>
      <w:r>
        <w:rPr>
          <w:b/>
        </w:rPr>
        <w:fldChar w:fldCharType="end"/>
      </w:r>
      <w:r>
        <w:rPr>
          <w:b/>
        </w:rPr>
        <w:fldChar w:fldCharType="end"/>
      </w:r>
    </w:p>
    <w:p>
      <w:pPr>
        <w:pStyle w:val="19"/>
        <w:tabs>
          <w:tab w:val="right" w:leader="dot" w:pos="8845"/>
        </w:tabs>
        <w:spacing w:line="360" w:lineRule="auto"/>
      </w:pPr>
      <w:r>
        <w:fldChar w:fldCharType="begin"/>
      </w:r>
      <w:r>
        <w:instrText xml:space="preserve"> HYPERLINK \l _Toc18745 </w:instrText>
      </w:r>
      <w:r>
        <w:fldChar w:fldCharType="separate"/>
      </w:r>
      <w:r>
        <w:rPr>
          <w:rFonts w:hint="eastAsia" w:ascii="楷体_GB2312" w:hAnsi="楷体_GB2312" w:eastAsia="楷体_GB2312" w:cs="楷体_GB2312"/>
          <w:szCs w:val="32"/>
        </w:rPr>
        <w:t>（一）公务接待费</w:t>
      </w:r>
      <w:r>
        <w:tab/>
      </w:r>
      <w:r>
        <w:fldChar w:fldCharType="begin"/>
      </w:r>
      <w:r>
        <w:instrText xml:space="preserve"> PAGEREF _Toc18745 \h </w:instrText>
      </w:r>
      <w:r>
        <w:fldChar w:fldCharType="separate"/>
      </w:r>
      <w:r>
        <w:t>5</w:t>
      </w:r>
      <w:r>
        <w:fldChar w:fldCharType="end"/>
      </w:r>
      <w:r>
        <w:fldChar w:fldCharType="end"/>
      </w:r>
    </w:p>
    <w:p>
      <w:pPr>
        <w:pStyle w:val="19"/>
        <w:tabs>
          <w:tab w:val="right" w:leader="dot" w:pos="8845"/>
        </w:tabs>
        <w:spacing w:line="360" w:lineRule="auto"/>
      </w:pPr>
      <w:r>
        <w:fldChar w:fldCharType="begin"/>
      </w:r>
      <w:r>
        <w:instrText xml:space="preserve"> HYPERLINK \l _Toc13219 </w:instrText>
      </w:r>
      <w:r>
        <w:fldChar w:fldCharType="separate"/>
      </w:r>
      <w:r>
        <w:rPr>
          <w:rFonts w:hint="eastAsia" w:ascii="楷体_GB2312" w:hAnsi="楷体_GB2312" w:eastAsia="楷体_GB2312" w:cs="Times New Roman"/>
          <w:szCs w:val="32"/>
        </w:rPr>
        <w:t xml:space="preserve">（二） </w:t>
      </w:r>
      <w:r>
        <w:rPr>
          <w:rFonts w:hint="eastAsia" w:ascii="楷体_GB2312" w:hAnsi="楷体_GB2312" w:eastAsia="楷体_GB2312" w:cs="楷体_GB2312"/>
          <w:szCs w:val="32"/>
        </w:rPr>
        <w:t>公务用车购置及运行维护费</w:t>
      </w:r>
      <w:r>
        <w:tab/>
      </w:r>
      <w:r>
        <w:fldChar w:fldCharType="begin"/>
      </w:r>
      <w:r>
        <w:instrText xml:space="preserve"> PAGEREF _Toc13219 \h </w:instrText>
      </w:r>
      <w:r>
        <w:fldChar w:fldCharType="separate"/>
      </w:r>
      <w:r>
        <w:t>5</w:t>
      </w:r>
      <w:r>
        <w:fldChar w:fldCharType="end"/>
      </w:r>
      <w:r>
        <w:fldChar w:fldCharType="end"/>
      </w:r>
    </w:p>
    <w:p>
      <w:pPr>
        <w:pStyle w:val="19"/>
        <w:tabs>
          <w:tab w:val="right" w:leader="dot" w:pos="8845"/>
        </w:tabs>
        <w:spacing w:line="360" w:lineRule="auto"/>
      </w:pPr>
      <w:r>
        <w:fldChar w:fldCharType="begin"/>
      </w:r>
      <w:r>
        <w:instrText xml:space="preserve"> HYPERLINK \l _Toc31621 </w:instrText>
      </w:r>
      <w:r>
        <w:fldChar w:fldCharType="separate"/>
      </w:r>
      <w:r>
        <w:rPr>
          <w:rFonts w:hint="eastAsia" w:ascii="仿宋_GB2312" w:hAnsi="仿宋_GB2312" w:eastAsia="仿宋_GB2312" w:cs="仿宋_GB2312"/>
          <w:szCs w:val="32"/>
        </w:rPr>
        <w:t>（</w:t>
      </w:r>
      <w:r>
        <w:rPr>
          <w:rFonts w:hint="eastAsia" w:ascii="楷体_GB2312" w:hAnsi="楷体_GB2312" w:eastAsia="楷体_GB2312" w:cs="楷体_GB2312"/>
          <w:szCs w:val="32"/>
        </w:rPr>
        <w:t>三）因公出国（境）经费</w:t>
      </w:r>
      <w:r>
        <w:tab/>
      </w:r>
      <w:r>
        <w:fldChar w:fldCharType="begin"/>
      </w:r>
      <w:r>
        <w:instrText xml:space="preserve"> PAGEREF _Toc31621 \h </w:instrText>
      </w:r>
      <w:r>
        <w:fldChar w:fldCharType="separate"/>
      </w:r>
      <w:r>
        <w:t>6</w:t>
      </w:r>
      <w:r>
        <w:fldChar w:fldCharType="end"/>
      </w:r>
      <w:r>
        <w:fldChar w:fldCharType="end"/>
      </w:r>
    </w:p>
    <w:p>
      <w:pPr>
        <w:pStyle w:val="18"/>
        <w:tabs>
          <w:tab w:val="right" w:leader="dot" w:pos="8845"/>
        </w:tabs>
        <w:spacing w:line="360" w:lineRule="auto"/>
        <w:rPr>
          <w:b/>
        </w:rPr>
      </w:pPr>
      <w:r>
        <w:rPr>
          <w:b/>
        </w:rPr>
        <w:fldChar w:fldCharType="begin"/>
      </w:r>
      <w:r>
        <w:rPr>
          <w:b/>
        </w:rPr>
        <w:instrText xml:space="preserve"> HYPERLINK \l _Toc9068 </w:instrText>
      </w:r>
      <w:r>
        <w:rPr>
          <w:b/>
        </w:rPr>
        <w:fldChar w:fldCharType="separate"/>
      </w:r>
      <w:r>
        <w:rPr>
          <w:rFonts w:hint="eastAsia" w:ascii="黑体" w:hAnsi="黑体" w:eastAsia="黑体" w:cs="黑体"/>
          <w:b/>
          <w:szCs w:val="32"/>
        </w:rPr>
        <w:t>八、政府性基金预算支出情况说明</w:t>
      </w:r>
      <w:r>
        <w:rPr>
          <w:b/>
        </w:rPr>
        <w:tab/>
      </w:r>
      <w:r>
        <w:rPr>
          <w:b/>
        </w:rPr>
        <w:fldChar w:fldCharType="begin"/>
      </w:r>
      <w:r>
        <w:rPr>
          <w:b/>
        </w:rPr>
        <w:instrText xml:space="preserve"> PAGEREF _Toc9068 \h </w:instrText>
      </w:r>
      <w:r>
        <w:rPr>
          <w:b/>
        </w:rPr>
        <w:fldChar w:fldCharType="separate"/>
      </w:r>
      <w:r>
        <w:rPr>
          <w:b/>
        </w:rPr>
        <w:t>6</w:t>
      </w:r>
      <w:r>
        <w:rPr>
          <w:b/>
        </w:rPr>
        <w:fldChar w:fldCharType="end"/>
      </w:r>
      <w:r>
        <w:rPr>
          <w:b/>
        </w:rPr>
        <w:fldChar w:fldCharType="end"/>
      </w:r>
    </w:p>
    <w:p>
      <w:pPr>
        <w:pStyle w:val="18"/>
        <w:tabs>
          <w:tab w:val="right" w:leader="dot" w:pos="8845"/>
        </w:tabs>
        <w:spacing w:line="360" w:lineRule="auto"/>
        <w:rPr>
          <w:b/>
        </w:rPr>
      </w:pPr>
      <w:r>
        <w:rPr>
          <w:b/>
        </w:rPr>
        <w:fldChar w:fldCharType="begin"/>
      </w:r>
      <w:r>
        <w:rPr>
          <w:b/>
        </w:rPr>
        <w:instrText xml:space="preserve"> HYPERLINK \l _Toc11836 </w:instrText>
      </w:r>
      <w:r>
        <w:rPr>
          <w:b/>
        </w:rPr>
        <w:fldChar w:fldCharType="separate"/>
      </w:r>
      <w:r>
        <w:rPr>
          <w:rFonts w:hint="eastAsia" w:ascii="黑体" w:hAnsi="黑体" w:eastAsia="黑体" w:cs="黑体"/>
          <w:b/>
          <w:szCs w:val="32"/>
        </w:rPr>
        <w:t>九、国有资本经营预算支出情况说明</w:t>
      </w:r>
      <w:r>
        <w:rPr>
          <w:b/>
        </w:rPr>
        <w:tab/>
      </w:r>
      <w:r>
        <w:rPr>
          <w:b/>
        </w:rPr>
        <w:fldChar w:fldCharType="begin"/>
      </w:r>
      <w:r>
        <w:rPr>
          <w:b/>
        </w:rPr>
        <w:instrText xml:space="preserve"> PAGEREF _Toc11836 \h </w:instrText>
      </w:r>
      <w:r>
        <w:rPr>
          <w:b/>
        </w:rPr>
        <w:fldChar w:fldCharType="separate"/>
      </w:r>
      <w:r>
        <w:rPr>
          <w:b/>
        </w:rPr>
        <w:t>6</w:t>
      </w:r>
      <w:r>
        <w:rPr>
          <w:b/>
        </w:rPr>
        <w:fldChar w:fldCharType="end"/>
      </w:r>
      <w:r>
        <w:rPr>
          <w:b/>
        </w:rPr>
        <w:fldChar w:fldCharType="end"/>
      </w:r>
    </w:p>
    <w:p>
      <w:pPr>
        <w:pStyle w:val="18"/>
        <w:tabs>
          <w:tab w:val="right" w:leader="dot" w:pos="8845"/>
        </w:tabs>
        <w:spacing w:line="360" w:lineRule="auto"/>
        <w:rPr>
          <w:b/>
        </w:rPr>
      </w:pPr>
      <w:r>
        <w:rPr>
          <w:b/>
        </w:rPr>
        <w:fldChar w:fldCharType="begin"/>
      </w:r>
      <w:r>
        <w:rPr>
          <w:b/>
        </w:rPr>
        <w:instrText xml:space="preserve"> HYPERLINK \l _Toc17071 </w:instrText>
      </w:r>
      <w:r>
        <w:rPr>
          <w:b/>
        </w:rPr>
        <w:fldChar w:fldCharType="separate"/>
      </w:r>
      <w:r>
        <w:rPr>
          <w:rFonts w:hint="eastAsia" w:ascii="黑体" w:hAnsi="黑体" w:eastAsia="黑体" w:cs="Times New Roman"/>
          <w:b/>
          <w:szCs w:val="32"/>
        </w:rPr>
        <w:t xml:space="preserve">十、 </w:t>
      </w:r>
      <w:r>
        <w:rPr>
          <w:rFonts w:hint="eastAsia" w:ascii="黑体" w:hAnsi="黑体" w:eastAsia="黑体" w:cs="黑体"/>
          <w:b/>
          <w:szCs w:val="32"/>
        </w:rPr>
        <w:t>其他重要事项的情况说明</w:t>
      </w:r>
      <w:r>
        <w:rPr>
          <w:b/>
        </w:rPr>
        <w:tab/>
      </w:r>
      <w:r>
        <w:rPr>
          <w:b/>
        </w:rPr>
        <w:fldChar w:fldCharType="begin"/>
      </w:r>
      <w:r>
        <w:rPr>
          <w:b/>
        </w:rPr>
        <w:instrText xml:space="preserve"> PAGEREF _Toc17071 \h </w:instrText>
      </w:r>
      <w:r>
        <w:rPr>
          <w:b/>
        </w:rPr>
        <w:fldChar w:fldCharType="separate"/>
      </w:r>
      <w:r>
        <w:rPr>
          <w:b/>
        </w:rPr>
        <w:t>6</w:t>
      </w:r>
      <w:r>
        <w:rPr>
          <w:b/>
        </w:rPr>
        <w:fldChar w:fldCharType="end"/>
      </w:r>
      <w:r>
        <w:rPr>
          <w:b/>
        </w:rPr>
        <w:fldChar w:fldCharType="end"/>
      </w:r>
    </w:p>
    <w:p>
      <w:pPr>
        <w:pStyle w:val="19"/>
        <w:tabs>
          <w:tab w:val="right" w:leader="dot" w:pos="8845"/>
        </w:tabs>
        <w:spacing w:line="360" w:lineRule="auto"/>
      </w:pPr>
      <w:r>
        <w:fldChar w:fldCharType="begin"/>
      </w:r>
      <w:r>
        <w:instrText xml:space="preserve"> HYPERLINK \l _Toc29023 </w:instrText>
      </w:r>
      <w:r>
        <w:fldChar w:fldCharType="separate"/>
      </w:r>
      <w:r>
        <w:rPr>
          <w:rFonts w:hint="eastAsia" w:ascii="楷体_GB2312" w:hAnsi="楷体_GB2312" w:eastAsia="楷体_GB2312" w:cs="楷体_GB2312"/>
          <w:szCs w:val="32"/>
        </w:rPr>
        <w:t>（一）机关运行经费</w:t>
      </w:r>
      <w:r>
        <w:tab/>
      </w:r>
      <w:r>
        <w:fldChar w:fldCharType="begin"/>
      </w:r>
      <w:r>
        <w:instrText xml:space="preserve"> PAGEREF _Toc29023 \h </w:instrText>
      </w:r>
      <w:r>
        <w:fldChar w:fldCharType="separate"/>
      </w:r>
      <w:r>
        <w:t>6</w:t>
      </w:r>
      <w:r>
        <w:fldChar w:fldCharType="end"/>
      </w:r>
      <w:r>
        <w:fldChar w:fldCharType="end"/>
      </w:r>
    </w:p>
    <w:p>
      <w:pPr>
        <w:pStyle w:val="19"/>
        <w:tabs>
          <w:tab w:val="right" w:leader="dot" w:pos="8845"/>
        </w:tabs>
        <w:spacing w:line="360" w:lineRule="auto"/>
      </w:pPr>
      <w:r>
        <w:fldChar w:fldCharType="begin"/>
      </w:r>
      <w:r>
        <w:instrText xml:space="preserve"> HYPERLINK \l _Toc16682 </w:instrText>
      </w:r>
      <w:r>
        <w:fldChar w:fldCharType="separate"/>
      </w:r>
      <w:r>
        <w:rPr>
          <w:rFonts w:hint="eastAsia" w:ascii="仿宋_GB2312" w:hAnsi="仿宋_GB2312" w:eastAsia="仿宋_GB2312" w:cs="仿宋_GB2312"/>
          <w:szCs w:val="32"/>
        </w:rPr>
        <w:t>（二）政府采购情况</w:t>
      </w:r>
      <w:r>
        <w:tab/>
      </w:r>
      <w:r>
        <w:fldChar w:fldCharType="begin"/>
      </w:r>
      <w:r>
        <w:instrText xml:space="preserve"> PAGEREF _Toc16682 \h </w:instrText>
      </w:r>
      <w:r>
        <w:fldChar w:fldCharType="separate"/>
      </w:r>
      <w:r>
        <w:t>6</w:t>
      </w:r>
      <w:r>
        <w:fldChar w:fldCharType="end"/>
      </w:r>
      <w:r>
        <w:fldChar w:fldCharType="end"/>
      </w:r>
    </w:p>
    <w:p>
      <w:pPr>
        <w:pStyle w:val="19"/>
        <w:tabs>
          <w:tab w:val="right" w:leader="dot" w:pos="8845"/>
        </w:tabs>
        <w:spacing w:line="360" w:lineRule="auto"/>
      </w:pPr>
      <w:r>
        <w:fldChar w:fldCharType="begin"/>
      </w:r>
      <w:r>
        <w:instrText xml:space="preserve"> HYPERLINK \l _Toc7785 </w:instrText>
      </w:r>
      <w:r>
        <w:fldChar w:fldCharType="separate"/>
      </w:r>
      <w:r>
        <w:rPr>
          <w:rFonts w:hint="eastAsia" w:ascii="楷体_GB2312" w:hAnsi="楷体_GB2312" w:eastAsia="楷体_GB2312" w:cs="楷体_GB2312"/>
          <w:szCs w:val="32"/>
        </w:rPr>
        <w:t>（三）国有资产占有使用情况</w:t>
      </w:r>
      <w:r>
        <w:tab/>
      </w:r>
      <w:r>
        <w:fldChar w:fldCharType="begin"/>
      </w:r>
      <w:r>
        <w:instrText xml:space="preserve"> PAGEREF _Toc7785 \h </w:instrText>
      </w:r>
      <w:r>
        <w:fldChar w:fldCharType="separate"/>
      </w:r>
      <w:r>
        <w:t>6</w:t>
      </w:r>
      <w:r>
        <w:fldChar w:fldCharType="end"/>
      </w:r>
      <w:r>
        <w:fldChar w:fldCharType="end"/>
      </w:r>
    </w:p>
    <w:p>
      <w:pPr>
        <w:pStyle w:val="19"/>
        <w:tabs>
          <w:tab w:val="right" w:leader="dot" w:pos="8845"/>
        </w:tabs>
        <w:spacing w:line="360" w:lineRule="auto"/>
      </w:pPr>
      <w:r>
        <w:fldChar w:fldCharType="begin"/>
      </w:r>
      <w:r>
        <w:instrText xml:space="preserve"> HYPERLINK \l _Toc16439 </w:instrText>
      </w:r>
      <w:r>
        <w:fldChar w:fldCharType="separate"/>
      </w:r>
      <w:r>
        <w:rPr>
          <w:rFonts w:hint="eastAsia" w:ascii="楷体_GB2312" w:hAnsi="楷体_GB2312" w:eastAsia="楷体_GB2312" w:cs="楷体_GB2312"/>
          <w:szCs w:val="32"/>
        </w:rPr>
        <w:t>（四）绩效目标设置情况</w:t>
      </w:r>
      <w:r>
        <w:tab/>
      </w:r>
      <w:r>
        <w:fldChar w:fldCharType="begin"/>
      </w:r>
      <w:r>
        <w:instrText xml:space="preserve"> PAGEREF _Toc16439 \h </w:instrText>
      </w:r>
      <w:r>
        <w:fldChar w:fldCharType="separate"/>
      </w:r>
      <w:r>
        <w:t>7</w:t>
      </w:r>
      <w:r>
        <w:fldChar w:fldCharType="end"/>
      </w:r>
      <w:r>
        <w:fldChar w:fldCharType="end"/>
      </w:r>
    </w:p>
    <w:p>
      <w:pPr>
        <w:pStyle w:val="18"/>
        <w:tabs>
          <w:tab w:val="right" w:leader="dot" w:pos="8845"/>
        </w:tabs>
        <w:spacing w:line="360" w:lineRule="auto"/>
        <w:rPr>
          <w:b/>
        </w:rPr>
      </w:pPr>
      <w:r>
        <w:rPr>
          <w:b/>
        </w:rPr>
        <w:fldChar w:fldCharType="begin"/>
      </w:r>
      <w:r>
        <w:rPr>
          <w:b/>
        </w:rPr>
        <w:instrText xml:space="preserve"> HYPERLINK \l _Toc4057 </w:instrText>
      </w:r>
      <w:r>
        <w:rPr>
          <w:b/>
        </w:rPr>
        <w:fldChar w:fldCharType="separate"/>
      </w:r>
      <w:r>
        <w:rPr>
          <w:rFonts w:hint="eastAsia" w:ascii="黑体" w:hAnsi="黑体" w:eastAsia="黑体" w:cs="黑体"/>
          <w:b/>
          <w:szCs w:val="32"/>
        </w:rPr>
        <w:t>十一、名词解释</w:t>
      </w:r>
      <w:r>
        <w:rPr>
          <w:b/>
        </w:rPr>
        <w:tab/>
      </w:r>
      <w:r>
        <w:rPr>
          <w:b/>
        </w:rPr>
        <w:fldChar w:fldCharType="begin"/>
      </w:r>
      <w:r>
        <w:rPr>
          <w:b/>
        </w:rPr>
        <w:instrText xml:space="preserve"> PAGEREF _Toc4057 \h </w:instrText>
      </w:r>
      <w:r>
        <w:rPr>
          <w:b/>
        </w:rPr>
        <w:fldChar w:fldCharType="separate"/>
      </w:r>
      <w:r>
        <w:rPr>
          <w:b/>
        </w:rPr>
        <w:t>7</w:t>
      </w:r>
      <w:r>
        <w:rPr>
          <w:b/>
        </w:rPr>
        <w:fldChar w:fldCharType="end"/>
      </w:r>
      <w:r>
        <w:rPr>
          <w:b/>
        </w:rPr>
        <w:fldChar w:fldCharType="end"/>
      </w:r>
    </w:p>
    <w:p>
      <w:pPr>
        <w:spacing w:line="360" w:lineRule="auto"/>
        <w:rPr>
          <w:b/>
        </w:rPr>
        <w:sectPr>
          <w:footerReference r:id="rId5" w:type="default"/>
          <w:pgSz w:w="11906" w:h="16838"/>
          <w:pgMar w:top="2098" w:right="1474" w:bottom="1984" w:left="1587" w:header="720" w:footer="1559" w:gutter="0"/>
          <w:pgNumType w:start="1"/>
          <w:cols w:space="720" w:num="1"/>
          <w:docGrid w:type="lines" w:linePitch="312" w:charSpace="0"/>
        </w:sectPr>
      </w:pPr>
      <w:r>
        <w:rPr>
          <w:b/>
        </w:rPr>
        <w:fldChar w:fldCharType="end"/>
      </w:r>
    </w:p>
    <w:p>
      <w:pPr>
        <w:pStyle w:val="9"/>
        <w:widowControl/>
        <w:shd w:val="clear" w:color="auto" w:fill="FFFFFF"/>
        <w:spacing w:before="130" w:line="580" w:lineRule="atLeast"/>
        <w:outlineLvl w:val="0"/>
        <w:rPr>
          <w:rFonts w:ascii="黑体" w:hAnsi="黑体" w:eastAsia="黑体" w:cs="黑体"/>
          <w:sz w:val="32"/>
          <w:szCs w:val="32"/>
        </w:rPr>
      </w:pPr>
      <w:r>
        <w:rPr>
          <w:rFonts w:ascii="宋体" w:hAnsi="宋体" w:cs="宋体"/>
          <w:b/>
          <w:color w:val="000000"/>
          <w:sz w:val="28"/>
          <w:szCs w:val="28"/>
          <w:shd w:val="clear" w:color="auto" w:fill="FFFFFF"/>
        </w:rPr>
        <w:t xml:space="preserve"> </w:t>
      </w:r>
      <w:bookmarkStart w:id="0" w:name="_Toc23041"/>
      <w:r>
        <w:rPr>
          <w:rFonts w:hint="eastAsia" w:ascii="黑体" w:hAnsi="黑体" w:eastAsia="黑体" w:cs="黑体"/>
          <w:sz w:val="32"/>
          <w:szCs w:val="32"/>
        </w:rPr>
        <w:t>一、基本职能及主要工作</w:t>
      </w:r>
      <w:bookmarkEnd w:id="0"/>
    </w:p>
    <w:p>
      <w:pPr>
        <w:spacing w:line="576" w:lineRule="exact"/>
        <w:ind w:firstLine="640" w:firstLineChars="200"/>
        <w:outlineLvl w:val="1"/>
        <w:rPr>
          <w:rFonts w:ascii="楷体_GB2312" w:hAnsi="楷体_GB2312" w:eastAsia="楷体_GB2312" w:cs="楷体_GB2312"/>
          <w:sz w:val="32"/>
          <w:szCs w:val="32"/>
        </w:rPr>
      </w:pPr>
      <w:bookmarkStart w:id="1" w:name="_Toc11552"/>
      <w:r>
        <w:rPr>
          <w:rFonts w:hint="eastAsia" w:ascii="楷体_GB2312" w:hAnsi="楷体_GB2312" w:eastAsia="楷体_GB2312" w:cs="楷体_GB2312"/>
          <w:sz w:val="32"/>
          <w:szCs w:val="32"/>
        </w:rPr>
        <w:t>（一）广元市光荣院职能简介</w:t>
      </w:r>
      <w:bookmarkEnd w:id="1"/>
    </w:p>
    <w:p>
      <w:pPr>
        <w:spacing w:line="560" w:lineRule="exact"/>
        <w:ind w:firstLine="640" w:firstLineChars="200"/>
        <w:rPr>
          <w:rFonts w:ascii="楷体_GB2312" w:hAnsi="楷体_GB2312" w:eastAsia="楷体_GB2312" w:cs="楷体_GB2312"/>
          <w:sz w:val="32"/>
          <w:szCs w:val="32"/>
        </w:rPr>
      </w:pPr>
      <w:r>
        <w:rPr>
          <w:rFonts w:hint="eastAsia" w:ascii="仿宋_GB2312" w:eastAsia="仿宋_GB2312" w:cs="仿宋_GB2312"/>
          <w:sz w:val="32"/>
          <w:szCs w:val="32"/>
        </w:rPr>
        <w:t>广元市光荣院成立于</w:t>
      </w:r>
      <w:r>
        <w:rPr>
          <w:rFonts w:ascii="仿宋_GB2312" w:eastAsia="仿宋_GB2312" w:cs="仿宋_GB2312"/>
          <w:sz w:val="32"/>
          <w:szCs w:val="32"/>
        </w:rPr>
        <w:t>1989</w:t>
      </w:r>
      <w:r>
        <w:rPr>
          <w:rFonts w:hint="eastAsia" w:ascii="仿宋_GB2312" w:eastAsia="仿宋_GB2312" w:cs="仿宋_GB2312"/>
          <w:sz w:val="32"/>
          <w:szCs w:val="32"/>
        </w:rPr>
        <w:t>年，于</w:t>
      </w:r>
      <w:r>
        <w:rPr>
          <w:rFonts w:ascii="仿宋_GB2312" w:eastAsia="仿宋_GB2312" w:cs="仿宋_GB2312"/>
          <w:sz w:val="32"/>
          <w:szCs w:val="32"/>
        </w:rPr>
        <w:t>2019</w:t>
      </w:r>
      <w:r>
        <w:rPr>
          <w:rFonts w:hint="eastAsia" w:ascii="仿宋_GB2312" w:eastAsia="仿宋_GB2312" w:cs="仿宋_GB2312"/>
          <w:sz w:val="32"/>
          <w:szCs w:val="32"/>
        </w:rPr>
        <w:t>年从广元市民政局整体划转至广元市退役军人事务局，现为广元市退役军人事务局公益一类直属事业单位。单位为正科级，与广元市</w:t>
      </w:r>
      <w:r>
        <w:rPr>
          <w:rFonts w:hint="eastAsia" w:ascii="仿宋_GB2312" w:eastAsia="仿宋_GB2312" w:cs="仿宋_GB2312"/>
          <w:sz w:val="32"/>
          <w:szCs w:val="32"/>
          <w:lang w:eastAsia="zh-CN"/>
        </w:rPr>
        <w:t>荣军</w:t>
      </w:r>
      <w:r>
        <w:rPr>
          <w:rFonts w:hint="eastAsia" w:ascii="仿宋_GB2312" w:eastAsia="仿宋_GB2312" w:cs="仿宋_GB2312"/>
          <w:sz w:val="32"/>
          <w:szCs w:val="32"/>
        </w:rPr>
        <w:t>优抚医院、广元市荣誉军人休养中心实行“三块牌子、一套人马”的管理体制，主要承担全市重点优抚对象的集中供养服务和红色文化传承教育工作职能。广元市光荣院以“视孤老为父母，将爱心献功臣”为核心服务理念，优化服务质量，推动硬件升级，为供养老人提供了舒适的居住条件与完备的医疗服务，使老人满意度不断提升。</w:t>
      </w:r>
    </w:p>
    <w:p>
      <w:pPr>
        <w:spacing w:line="560" w:lineRule="exact"/>
        <w:ind w:firstLine="640" w:firstLineChars="200"/>
        <w:outlineLvl w:val="1"/>
        <w:rPr>
          <w:rFonts w:ascii="楷体_GB2312" w:hAnsi="楷体_GB2312" w:eastAsia="楷体_GB2312" w:cs="楷体_GB2312"/>
          <w:sz w:val="32"/>
          <w:szCs w:val="32"/>
          <w:highlight w:val="none"/>
        </w:rPr>
      </w:pPr>
      <w:bookmarkStart w:id="2" w:name="_Toc11436"/>
      <w:r>
        <w:rPr>
          <w:rFonts w:hint="eastAsia" w:ascii="楷体_GB2312" w:hAnsi="楷体_GB2312" w:eastAsia="楷体_GB2312" w:cs="楷体_GB2312"/>
          <w:sz w:val="32"/>
          <w:szCs w:val="32"/>
          <w:highlight w:val="none"/>
        </w:rPr>
        <w:t>（二）广元市光荣院</w:t>
      </w:r>
      <w:r>
        <w:rPr>
          <w:rFonts w:ascii="楷体_GB2312" w:hAnsi="楷体_GB2312" w:eastAsia="楷体_GB2312" w:cs="楷体_GB2312"/>
          <w:sz w:val="32"/>
          <w:szCs w:val="32"/>
          <w:highlight w:val="none"/>
        </w:rPr>
        <w:t>2024</w:t>
      </w:r>
      <w:r>
        <w:rPr>
          <w:rFonts w:hint="eastAsia" w:ascii="楷体_GB2312" w:hAnsi="楷体_GB2312" w:eastAsia="楷体_GB2312" w:cs="楷体_GB2312"/>
          <w:sz w:val="32"/>
          <w:szCs w:val="32"/>
          <w:highlight w:val="none"/>
        </w:rPr>
        <w:t>年重点工作</w:t>
      </w:r>
      <w:bookmarkEnd w:id="2"/>
    </w:p>
    <w:p>
      <w:pPr>
        <w:spacing w:line="560" w:lineRule="exact"/>
        <w:ind w:firstLine="640" w:firstLineChars="200"/>
        <w:rPr>
          <w:rFonts w:ascii="仿宋_GB2312" w:eastAsia="仿宋_GB2312" w:cs="仿宋_GB2312"/>
          <w:sz w:val="32"/>
          <w:szCs w:val="32"/>
        </w:rPr>
      </w:pPr>
      <w:r>
        <w:rPr>
          <w:rFonts w:ascii="仿宋_GB2312" w:eastAsia="仿宋_GB2312" w:cs="仿宋_GB2312"/>
          <w:sz w:val="32"/>
          <w:szCs w:val="32"/>
        </w:rPr>
        <w:t>2024</w:t>
      </w:r>
      <w:r>
        <w:rPr>
          <w:rFonts w:hint="eastAsia" w:ascii="仿宋_GB2312" w:eastAsia="仿宋_GB2312" w:cs="仿宋_GB2312"/>
          <w:sz w:val="32"/>
          <w:szCs w:val="32"/>
        </w:rPr>
        <w:t>年，市光荣院将坚持以习近平新时代中国特色社会主义思想为指导，全面贯彻落实中央、省委、市委、市局党组各项决策部署，主动作为、积极进取，为推动广元退役军人养老服务事业高质量发展贡献力量。</w:t>
      </w:r>
    </w:p>
    <w:p>
      <w:pPr>
        <w:spacing w:line="560" w:lineRule="exact"/>
        <w:ind w:firstLine="640" w:firstLineChars="200"/>
        <w:rPr>
          <w:rFonts w:ascii="仿宋_GB2312" w:eastAsia="仿宋_GB2312" w:cs="仿宋_GB2312"/>
          <w:sz w:val="32"/>
          <w:szCs w:val="32"/>
        </w:rPr>
      </w:pPr>
      <w:r>
        <w:rPr>
          <w:rFonts w:hint="eastAsia" w:ascii="楷体_GB2312" w:eastAsia="楷体_GB2312" w:cs="仿宋_GB2312"/>
          <w:sz w:val="32"/>
          <w:szCs w:val="32"/>
        </w:rPr>
        <w:t>（一）突出理论学习，提升队伍素养。</w:t>
      </w:r>
      <w:r>
        <w:rPr>
          <w:rFonts w:hint="eastAsia" w:ascii="仿宋_GB2312" w:eastAsia="仿宋_GB2312" w:cs="仿宋_GB2312"/>
          <w:sz w:val="32"/>
          <w:szCs w:val="32"/>
        </w:rPr>
        <w:t>巩固主题教育成果，加强《党章》、党的二十大报告和《习近平新时代中国特色社会主义思想专题摘编》学习，切实提升干部职工干事创业的精气神、开拓进取的事业心、敢于担当的责任心。进一步丰富</w:t>
      </w:r>
      <w:r>
        <w:rPr>
          <w:rFonts w:ascii="仿宋_GB2312" w:eastAsia="仿宋_GB2312" w:cs="仿宋_GB2312"/>
          <w:sz w:val="32"/>
          <w:szCs w:val="32"/>
        </w:rPr>
        <w:t xml:space="preserve"> </w:t>
      </w:r>
      <w:r>
        <w:rPr>
          <w:rFonts w:hint="eastAsia" w:ascii="仿宋_GB2312" w:eastAsia="仿宋_GB2312" w:cs="仿宋_GB2312"/>
          <w:sz w:val="32"/>
          <w:szCs w:val="32"/>
        </w:rPr>
        <w:t>“三会一课”和主题党日活动、党课教育等形式，增强基层党组织战斗堡垒和党员干部先锋模范作用。</w:t>
      </w:r>
    </w:p>
    <w:p>
      <w:pPr>
        <w:spacing w:line="560" w:lineRule="exact"/>
        <w:rPr>
          <w:rFonts w:ascii="楷体_GB2312" w:eastAsia="楷体_GB2312" w:cs="仿宋_GB2312"/>
          <w:sz w:val="32"/>
          <w:szCs w:val="32"/>
        </w:rPr>
      </w:pPr>
      <w:r>
        <w:rPr>
          <w:rFonts w:ascii="仿宋_GB2312" w:eastAsia="仿宋_GB2312" w:cs="仿宋_GB2312"/>
          <w:sz w:val="32"/>
          <w:szCs w:val="32"/>
        </w:rPr>
        <w:t xml:space="preserve">    </w:t>
      </w:r>
      <w:r>
        <w:rPr>
          <w:rFonts w:hint="eastAsia" w:ascii="楷体_GB2312" w:eastAsia="楷体_GB2312" w:cs="仿宋_GB2312"/>
          <w:sz w:val="32"/>
          <w:szCs w:val="32"/>
        </w:rPr>
        <w:t>（二）突出项目建设，提升居住环境。</w:t>
      </w:r>
      <w:r>
        <w:rPr>
          <w:rFonts w:hint="eastAsia" w:ascii="仿宋_GB2312" w:eastAsia="仿宋_GB2312" w:cs="仿宋_GB2312"/>
          <w:sz w:val="32"/>
          <w:szCs w:val="32"/>
        </w:rPr>
        <w:t>严格遵守项目建设规定、流程，加快推进市光荣院提质改造工程项目，尽早改善供养对象居住环境，提升服务满意度。</w:t>
      </w:r>
    </w:p>
    <w:p>
      <w:pPr>
        <w:spacing w:line="560" w:lineRule="exact"/>
        <w:ind w:firstLine="645"/>
        <w:rPr>
          <w:rFonts w:ascii="仿宋_GB2312" w:eastAsia="仿宋_GB2312" w:cs="仿宋_GB2312"/>
          <w:sz w:val="32"/>
          <w:szCs w:val="32"/>
        </w:rPr>
      </w:pPr>
      <w:r>
        <w:rPr>
          <w:rFonts w:hint="eastAsia" w:ascii="楷体_GB2312" w:eastAsia="楷体_GB2312" w:cs="仿宋_GB2312"/>
          <w:sz w:val="32"/>
          <w:szCs w:val="32"/>
        </w:rPr>
        <w:t>（三）突出供养服务，提升幸福指数。</w:t>
      </w:r>
      <w:r>
        <w:rPr>
          <w:rFonts w:hint="eastAsia" w:ascii="仿宋_GB2312" w:eastAsia="仿宋_GB2312" w:cs="仿宋_GB2312"/>
          <w:sz w:val="32"/>
          <w:szCs w:val="32"/>
        </w:rPr>
        <w:t>加大协调力度，与县区基本形成送养服务保障机制，努力解决县区供养经费缴纳慢、拖欠经费问题。坚持“服务至上、老人第一”，推进精细化管理、营养化供餐、光盘式就餐。完善并实施《供养服务工作制度》，通过制度化、规范化，不断丰富优化老人的休养生活。</w:t>
      </w:r>
    </w:p>
    <w:p>
      <w:pPr>
        <w:spacing w:line="560" w:lineRule="exact"/>
        <w:ind w:firstLine="645"/>
        <w:rPr>
          <w:rFonts w:ascii="仿宋_GB2312" w:eastAsia="仿宋_GB2312" w:cs="仿宋_GB2312"/>
          <w:sz w:val="32"/>
          <w:szCs w:val="32"/>
        </w:rPr>
      </w:pPr>
      <w:r>
        <w:rPr>
          <w:rFonts w:hint="eastAsia" w:ascii="楷体_GB2312" w:eastAsia="楷体_GB2312" w:cs="仿宋_GB2312"/>
          <w:sz w:val="32"/>
          <w:szCs w:val="32"/>
        </w:rPr>
        <w:t>（四）突出医疗服务，提升保障水平。</w:t>
      </w:r>
      <w:r>
        <w:rPr>
          <w:rFonts w:hint="eastAsia" w:ascii="仿宋_GB2312" w:eastAsia="仿宋_GB2312" w:cs="仿宋_GB2312"/>
          <w:sz w:val="32"/>
          <w:szCs w:val="32"/>
        </w:rPr>
        <w:t>通过硬件改造后，在上级医院的指导下，进一步深化医药卫生体制改革，优化卫生资源配置，构建医疗联合体模式，充分发挥</w:t>
      </w:r>
      <w:r>
        <w:rPr>
          <w:rFonts w:hint="eastAsia" w:ascii="仿宋_GB2312" w:eastAsia="仿宋_GB2312" w:cs="仿宋_GB2312"/>
          <w:sz w:val="32"/>
          <w:szCs w:val="32"/>
          <w:lang w:eastAsia="zh-CN"/>
        </w:rPr>
        <w:t>荣军</w:t>
      </w:r>
      <w:r>
        <w:rPr>
          <w:rFonts w:hint="eastAsia" w:ascii="仿宋_GB2312" w:eastAsia="仿宋_GB2312" w:cs="仿宋_GB2312"/>
          <w:sz w:val="32"/>
          <w:szCs w:val="32"/>
        </w:rPr>
        <w:t>优抚医院医疗资源优势，面向全市各类优抚对象和广大退役军人实施定期疗养、短期休养、中长期康养等“医养结合”服务，拓宽优抚事业发展空间。深入开展“我为群众办实事”医疗巡诊活动，力争更大范围覆盖全市各类优抚对象和退役军人。</w:t>
      </w:r>
    </w:p>
    <w:p>
      <w:pPr>
        <w:spacing w:line="560" w:lineRule="exact"/>
        <w:ind w:firstLine="640" w:firstLineChars="200"/>
        <w:rPr>
          <w:rFonts w:cs="仿宋_GB2312"/>
        </w:rPr>
      </w:pPr>
      <w:r>
        <w:rPr>
          <w:rFonts w:hint="eastAsia" w:ascii="楷体_GB2312" w:eastAsia="楷体_GB2312" w:cs="仿宋_GB2312"/>
          <w:sz w:val="32"/>
          <w:szCs w:val="32"/>
        </w:rPr>
        <w:t>（五）突出安全管理，提升安全意识。</w:t>
      </w:r>
      <w:r>
        <w:rPr>
          <w:rFonts w:hint="eastAsia" w:ascii="仿宋_GB2312" w:eastAsia="仿宋_GB2312" w:cs="仿宋_GB2312"/>
          <w:sz w:val="32"/>
          <w:szCs w:val="32"/>
        </w:rPr>
        <w:t>把安全作为保底工程，健全全员防控网络，落实安全管理责任，实行</w:t>
      </w:r>
      <w:r>
        <w:rPr>
          <w:rFonts w:ascii="仿宋_GB2312" w:eastAsia="仿宋_GB2312" w:cs="仿宋_GB2312"/>
          <w:sz w:val="32"/>
          <w:szCs w:val="32"/>
        </w:rPr>
        <w:t>24</w:t>
      </w:r>
      <w:r>
        <w:rPr>
          <w:rFonts w:hint="eastAsia" w:ascii="仿宋_GB2312" w:eastAsia="仿宋_GB2312" w:cs="仿宋_GB2312"/>
          <w:sz w:val="32"/>
          <w:szCs w:val="32"/>
        </w:rPr>
        <w:t>小时值班，加强安全巡查检查，坚持安全跟着人员、跟着任务走，确保全年全员安全。</w:t>
      </w:r>
    </w:p>
    <w:p>
      <w:pPr>
        <w:spacing w:line="576" w:lineRule="exact"/>
        <w:ind w:firstLine="640" w:firstLineChars="200"/>
        <w:outlineLvl w:val="0"/>
        <w:rPr>
          <w:rFonts w:ascii="黑体" w:hAnsi="黑体" w:eastAsia="黑体" w:cs="黑体"/>
          <w:sz w:val="32"/>
          <w:szCs w:val="32"/>
        </w:rPr>
      </w:pPr>
      <w:bookmarkStart w:id="3" w:name="_Toc21436"/>
      <w:r>
        <w:rPr>
          <w:rFonts w:hint="eastAsia" w:ascii="黑体" w:hAnsi="黑体" w:eastAsia="黑体" w:cs="黑体"/>
          <w:sz w:val="32"/>
          <w:szCs w:val="32"/>
        </w:rPr>
        <w:t>二、部门预算单位构成</w:t>
      </w:r>
      <w:bookmarkEnd w:id="3"/>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广元市光荣院隶属市退役军人事务局，独立二级预算单位，</w:t>
      </w:r>
    </w:p>
    <w:p>
      <w:pPr>
        <w:pStyle w:val="2"/>
        <w:ind w:firstLine="0" w:firstLineChars="0"/>
      </w:pPr>
      <w:r>
        <w:rPr>
          <w:rFonts w:hint="eastAsia" w:ascii="仿宋_GB2312" w:eastAsia="仿宋_GB2312" w:cs="仿宋_GB2312"/>
          <w:szCs w:val="32"/>
        </w:rPr>
        <w:t>公益一类事业单位。</w:t>
      </w:r>
    </w:p>
    <w:p>
      <w:pPr>
        <w:spacing w:line="576" w:lineRule="exact"/>
        <w:ind w:firstLine="640" w:firstLineChars="200"/>
        <w:outlineLvl w:val="0"/>
        <w:rPr>
          <w:rFonts w:ascii="黑体" w:hAnsi="黑体" w:eastAsia="黑体" w:cs="黑体"/>
          <w:sz w:val="32"/>
          <w:szCs w:val="32"/>
        </w:rPr>
      </w:pPr>
      <w:bookmarkStart w:id="4" w:name="_Toc31778"/>
      <w:r>
        <w:rPr>
          <w:rFonts w:hint="eastAsia" w:ascii="黑体" w:hAnsi="黑体" w:eastAsia="黑体" w:cs="黑体"/>
          <w:sz w:val="32"/>
          <w:szCs w:val="32"/>
        </w:rPr>
        <w:t>三、收支预算情况说明</w:t>
      </w:r>
      <w:bookmarkEnd w:id="4"/>
    </w:p>
    <w:p>
      <w:pPr>
        <w:spacing w:line="576" w:lineRule="exact"/>
        <w:ind w:firstLine="640" w:firstLineChars="200"/>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按照综合预算的原则，广元市光荣院所有收入和支出均纳入部门预算管理。收入包括：一般公共预算拨款收入；支出包括：社会保障和就业支出、卫生健康支出、住房保障支出。</w:t>
      </w:r>
      <w:r>
        <w:rPr>
          <w:rFonts w:hint="eastAsia" w:ascii="仿宋_GB2312" w:eastAsia="仿宋_GB2312" w:cs="仿宋_GB2312"/>
          <w:sz w:val="32"/>
          <w:szCs w:val="32"/>
        </w:rPr>
        <w:t>广元市光荣院</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年收支预算总数</w:t>
      </w:r>
      <w:r>
        <w:rPr>
          <w:rFonts w:ascii="仿宋_GB2312" w:hAnsi="仿宋_GB2312" w:eastAsia="仿宋_GB2312" w:cs="仿宋_GB2312"/>
          <w:sz w:val="32"/>
          <w:szCs w:val="32"/>
        </w:rPr>
        <w:t>394.05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年收支预算总数增加</w:t>
      </w:r>
      <w:r>
        <w:rPr>
          <w:rFonts w:ascii="仿宋_GB2312" w:hAnsi="仿宋_GB2312" w:eastAsia="仿宋_GB2312" w:cs="仿宋_GB2312"/>
          <w:sz w:val="32"/>
          <w:szCs w:val="32"/>
        </w:rPr>
        <w:t>79.69</w:t>
      </w:r>
      <w:r>
        <w:rPr>
          <w:rFonts w:hint="eastAsia" w:ascii="仿宋_GB2312" w:hAnsi="仿宋_GB2312" w:eastAsia="仿宋_GB2312" w:cs="仿宋_GB2312"/>
          <w:sz w:val="32"/>
          <w:szCs w:val="32"/>
        </w:rPr>
        <w:t>万元，主要原因是人员增加，工资及公用经费增加</w:t>
      </w:r>
      <w:r>
        <w:rPr>
          <w:rFonts w:hint="default" w:ascii="仿宋_GB2312" w:hAnsi="仿宋_GB2312" w:eastAsia="仿宋_GB2312" w:cs="仿宋_GB2312"/>
          <w:sz w:val="32"/>
          <w:szCs w:val="32"/>
        </w:rPr>
        <w:t>。</w:t>
      </w:r>
    </w:p>
    <w:p>
      <w:pPr>
        <w:spacing w:line="576" w:lineRule="exact"/>
        <w:ind w:firstLine="640" w:firstLineChars="200"/>
        <w:outlineLvl w:val="1"/>
        <w:rPr>
          <w:rFonts w:ascii="楷体_GB2312" w:hAnsi="楷体_GB2312" w:eastAsia="楷体_GB2312" w:cs="楷体_GB2312"/>
          <w:sz w:val="32"/>
          <w:szCs w:val="32"/>
        </w:rPr>
      </w:pPr>
      <w:bookmarkStart w:id="5" w:name="_Toc15908"/>
      <w:r>
        <w:rPr>
          <w:rFonts w:hint="eastAsia" w:ascii="楷体_GB2312" w:hAnsi="楷体_GB2312" w:eastAsia="楷体_GB2312" w:cs="楷体_GB2312"/>
          <w:sz w:val="32"/>
          <w:szCs w:val="32"/>
        </w:rPr>
        <w:t>（一）收入预算情况</w:t>
      </w:r>
      <w:bookmarkEnd w:id="5"/>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广元市光荣院</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年收入预算</w:t>
      </w:r>
      <w:r>
        <w:rPr>
          <w:rFonts w:ascii="仿宋_GB2312" w:hAnsi="仿宋_GB2312" w:eastAsia="仿宋_GB2312" w:cs="仿宋_GB2312"/>
          <w:sz w:val="32"/>
          <w:szCs w:val="32"/>
        </w:rPr>
        <w:t>394.05</w:t>
      </w:r>
      <w:r>
        <w:rPr>
          <w:rFonts w:hint="eastAsia" w:ascii="仿宋_GB2312" w:hAnsi="仿宋_GB2312" w:eastAsia="仿宋_GB2312" w:cs="仿宋_GB2312"/>
          <w:sz w:val="32"/>
          <w:szCs w:val="32"/>
        </w:rPr>
        <w:t>万元，一般公共预算拨款收入</w:t>
      </w:r>
      <w:r>
        <w:rPr>
          <w:rFonts w:ascii="仿宋_GB2312" w:hAnsi="仿宋_GB2312" w:eastAsia="仿宋_GB2312" w:cs="仿宋_GB2312"/>
          <w:sz w:val="32"/>
          <w:szCs w:val="32"/>
        </w:rPr>
        <w:t>394.05</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576" w:lineRule="exact"/>
        <w:ind w:firstLine="640" w:firstLineChars="200"/>
        <w:outlineLvl w:val="1"/>
        <w:rPr>
          <w:rFonts w:ascii="楷体_GB2312" w:hAnsi="楷体_GB2312" w:eastAsia="楷体_GB2312" w:cs="楷体_GB2312"/>
          <w:sz w:val="32"/>
          <w:szCs w:val="32"/>
        </w:rPr>
      </w:pPr>
      <w:bookmarkStart w:id="6" w:name="_Toc19123"/>
      <w:r>
        <w:rPr>
          <w:rFonts w:hint="eastAsia" w:ascii="楷体_GB2312" w:hAnsi="楷体_GB2312" w:eastAsia="楷体_GB2312" w:cs="楷体_GB2312"/>
          <w:sz w:val="32"/>
          <w:szCs w:val="32"/>
        </w:rPr>
        <w:t>（二）支出预算情况</w:t>
      </w:r>
      <w:bookmarkEnd w:id="6"/>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广元市光荣院</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394.05</w:t>
      </w:r>
      <w:r>
        <w:rPr>
          <w:rFonts w:hint="eastAsia" w:ascii="仿宋_GB2312" w:hAnsi="仿宋_GB2312" w:eastAsia="仿宋_GB2312" w:cs="仿宋_GB2312"/>
          <w:sz w:val="32"/>
          <w:szCs w:val="32"/>
        </w:rPr>
        <w:t>万元，其中：基本支出</w:t>
      </w:r>
      <w:r>
        <w:rPr>
          <w:rFonts w:ascii="仿宋_GB2312" w:hAnsi="仿宋_GB2312" w:eastAsia="仿宋_GB2312" w:cs="仿宋_GB2312"/>
          <w:sz w:val="32"/>
          <w:szCs w:val="32"/>
        </w:rPr>
        <w:t>378.08</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96%</w:t>
      </w:r>
      <w:r>
        <w:rPr>
          <w:rFonts w:hint="eastAsia" w:ascii="仿宋_GB2312" w:hAnsi="仿宋_GB2312" w:eastAsia="仿宋_GB2312" w:cs="仿宋_GB2312"/>
          <w:sz w:val="32"/>
          <w:szCs w:val="32"/>
        </w:rPr>
        <w:t>；项目支出</w:t>
      </w:r>
      <w:r>
        <w:rPr>
          <w:rFonts w:ascii="仿宋_GB2312" w:hAnsi="仿宋_GB2312" w:eastAsia="仿宋_GB2312" w:cs="仿宋_GB2312"/>
          <w:sz w:val="32"/>
          <w:szCs w:val="32"/>
        </w:rPr>
        <w:t>15.97</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w:t>
      </w:r>
    </w:p>
    <w:p>
      <w:pPr>
        <w:spacing w:line="576" w:lineRule="exact"/>
        <w:ind w:firstLine="640" w:firstLineChars="200"/>
        <w:outlineLvl w:val="0"/>
        <w:rPr>
          <w:rFonts w:ascii="黑体" w:hAnsi="黑体" w:eastAsia="黑体" w:cs="黑体"/>
          <w:sz w:val="32"/>
          <w:szCs w:val="32"/>
        </w:rPr>
      </w:pPr>
      <w:bookmarkStart w:id="7" w:name="_Toc24754"/>
      <w:r>
        <w:rPr>
          <w:rFonts w:hint="eastAsia" w:ascii="黑体" w:hAnsi="黑体" w:eastAsia="黑体" w:cs="黑体"/>
          <w:sz w:val="32"/>
          <w:szCs w:val="32"/>
        </w:rPr>
        <w:t>四、财政拨款收支预算情况说明</w:t>
      </w:r>
      <w:bookmarkEnd w:id="7"/>
    </w:p>
    <w:p>
      <w:pPr>
        <w:spacing w:line="576" w:lineRule="exact"/>
        <w:ind w:firstLine="640" w:firstLineChars="200"/>
        <w:rPr>
          <w:rFonts w:hint="eastAsia" w:ascii="仿宋_GB2312" w:hAnsi="仿宋_GB2312" w:eastAsia="仿宋_GB2312" w:cs="仿宋_GB2312"/>
          <w:sz w:val="32"/>
          <w:szCs w:val="32"/>
          <w:highlight w:val="red"/>
          <w:lang w:eastAsia="zh-CN"/>
        </w:rPr>
      </w:pPr>
      <w:r>
        <w:rPr>
          <w:rFonts w:hint="eastAsia" w:ascii="仿宋_GB2312" w:hAnsi="仿宋_GB2312" w:eastAsia="仿宋_GB2312" w:cs="仿宋_GB2312"/>
          <w:sz w:val="32"/>
          <w:szCs w:val="32"/>
        </w:rPr>
        <w:t>广元市光荣院</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年财政拨款收支预算总数</w:t>
      </w:r>
      <w:r>
        <w:rPr>
          <w:rFonts w:ascii="仿宋_GB2312" w:hAnsi="仿宋_GB2312" w:eastAsia="仿宋_GB2312" w:cs="仿宋_GB2312"/>
          <w:sz w:val="32"/>
          <w:szCs w:val="32"/>
        </w:rPr>
        <w:t>394.05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年财政拨款收支预算总数增加</w:t>
      </w:r>
      <w:r>
        <w:rPr>
          <w:rFonts w:ascii="仿宋_GB2312" w:hAnsi="仿宋_GB2312" w:eastAsia="仿宋_GB2312" w:cs="仿宋_GB2312"/>
          <w:sz w:val="32"/>
          <w:szCs w:val="32"/>
        </w:rPr>
        <w:t>79.69</w:t>
      </w:r>
      <w:r>
        <w:rPr>
          <w:rFonts w:hint="eastAsia" w:ascii="仿宋_GB2312" w:hAnsi="仿宋_GB2312" w:eastAsia="仿宋_GB2312" w:cs="仿宋_GB2312"/>
          <w:sz w:val="32"/>
          <w:szCs w:val="32"/>
        </w:rPr>
        <w:t>万元，主要原因是人员增加，工资及公用经费增加</w:t>
      </w:r>
      <w:r>
        <w:rPr>
          <w:rFonts w:hint="eastAsia" w:ascii="仿宋_GB2312" w:hAnsi="仿宋_GB2312" w:eastAsia="仿宋_GB2312" w:cs="仿宋_GB2312"/>
          <w:sz w:val="32"/>
          <w:szCs w:val="32"/>
          <w:lang w:eastAsia="zh-CN"/>
        </w:rPr>
        <w:t>。</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w:t>
      </w:r>
      <w:r>
        <w:rPr>
          <w:rFonts w:ascii="仿宋_GB2312" w:hAnsi="仿宋_GB2312" w:eastAsia="仿宋_GB2312" w:cs="仿宋_GB2312"/>
          <w:sz w:val="32"/>
          <w:szCs w:val="32"/>
        </w:rPr>
        <w:t>394.05</w:t>
      </w:r>
      <w:r>
        <w:rPr>
          <w:rFonts w:hint="eastAsia" w:ascii="仿宋_GB2312" w:hAnsi="仿宋_GB2312" w:eastAsia="仿宋_GB2312" w:cs="仿宋_GB2312"/>
          <w:sz w:val="32"/>
          <w:szCs w:val="32"/>
        </w:rPr>
        <w:t>万元；支出包括：社会保障和就业支出</w:t>
      </w:r>
      <w:r>
        <w:rPr>
          <w:rFonts w:ascii="仿宋_GB2312" w:hAnsi="仿宋_GB2312" w:eastAsia="仿宋_GB2312" w:cs="仿宋_GB2312"/>
          <w:sz w:val="32"/>
          <w:szCs w:val="32"/>
        </w:rPr>
        <w:t>346.58</w:t>
      </w:r>
      <w:r>
        <w:rPr>
          <w:rFonts w:hint="eastAsia" w:ascii="仿宋_GB2312" w:hAnsi="仿宋_GB2312" w:eastAsia="仿宋_GB2312" w:cs="仿宋_GB2312"/>
          <w:sz w:val="32"/>
          <w:szCs w:val="32"/>
        </w:rPr>
        <w:t>万元、卫生健康支出</w:t>
      </w:r>
      <w:r>
        <w:rPr>
          <w:rFonts w:ascii="仿宋_GB2312" w:hAnsi="仿宋_GB2312" w:eastAsia="仿宋_GB2312" w:cs="仿宋_GB2312"/>
          <w:sz w:val="32"/>
          <w:szCs w:val="32"/>
        </w:rPr>
        <w:t>17.82</w:t>
      </w:r>
      <w:r>
        <w:rPr>
          <w:rFonts w:hint="eastAsia" w:ascii="仿宋_GB2312" w:hAnsi="仿宋_GB2312" w:eastAsia="仿宋_GB2312" w:cs="仿宋_GB2312"/>
          <w:sz w:val="32"/>
          <w:szCs w:val="32"/>
        </w:rPr>
        <w:t>万元、住房保障支出</w:t>
      </w:r>
      <w:r>
        <w:rPr>
          <w:rFonts w:ascii="仿宋_GB2312" w:hAnsi="仿宋_GB2312" w:eastAsia="仿宋_GB2312" w:cs="仿宋_GB2312"/>
          <w:sz w:val="32"/>
          <w:szCs w:val="32"/>
        </w:rPr>
        <w:t>29.65</w:t>
      </w:r>
      <w:r>
        <w:rPr>
          <w:rFonts w:hint="eastAsia" w:ascii="仿宋_GB2312" w:hAnsi="仿宋_GB2312" w:eastAsia="仿宋_GB2312" w:cs="仿宋_GB2312"/>
          <w:sz w:val="32"/>
          <w:szCs w:val="32"/>
        </w:rPr>
        <w:t>万元。</w:t>
      </w:r>
    </w:p>
    <w:p>
      <w:pPr>
        <w:spacing w:line="576" w:lineRule="exact"/>
        <w:ind w:firstLine="640" w:firstLineChars="200"/>
        <w:outlineLvl w:val="0"/>
        <w:rPr>
          <w:rFonts w:ascii="黑体" w:hAnsi="黑体" w:eastAsia="黑体" w:cs="黑体"/>
          <w:sz w:val="32"/>
          <w:szCs w:val="32"/>
        </w:rPr>
      </w:pPr>
      <w:bookmarkStart w:id="8" w:name="_Toc4446"/>
      <w:r>
        <w:rPr>
          <w:rFonts w:hint="eastAsia" w:ascii="黑体" w:hAnsi="黑体" w:eastAsia="黑体" w:cs="黑体"/>
          <w:sz w:val="32"/>
          <w:szCs w:val="32"/>
        </w:rPr>
        <w:t>五、一般公共预算当年拨款情况说明</w:t>
      </w:r>
      <w:bookmarkEnd w:id="8"/>
    </w:p>
    <w:p>
      <w:pPr>
        <w:spacing w:line="576" w:lineRule="exact"/>
        <w:ind w:firstLine="640" w:firstLineChars="200"/>
        <w:outlineLvl w:val="1"/>
        <w:rPr>
          <w:rFonts w:ascii="楷体_GB2312" w:hAnsi="楷体_GB2312" w:eastAsia="楷体_GB2312" w:cs="楷体_GB2312"/>
          <w:sz w:val="32"/>
          <w:szCs w:val="32"/>
        </w:rPr>
      </w:pPr>
      <w:bookmarkStart w:id="9" w:name="_Toc30292"/>
      <w:r>
        <w:rPr>
          <w:rFonts w:hint="eastAsia" w:ascii="楷体_GB2312" w:hAnsi="楷体_GB2312" w:eastAsia="楷体_GB2312" w:cs="楷体_GB2312"/>
          <w:sz w:val="32"/>
          <w:szCs w:val="32"/>
        </w:rPr>
        <w:t>（一）一般公共预算当年拨款规模变化情况</w:t>
      </w:r>
      <w:bookmarkEnd w:id="9"/>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广元市光荣院</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年一般公共预算当年拨款</w:t>
      </w:r>
      <w:r>
        <w:rPr>
          <w:rFonts w:ascii="仿宋_GB2312" w:hAnsi="仿宋_GB2312" w:eastAsia="仿宋_GB2312" w:cs="仿宋_GB2312"/>
          <w:sz w:val="32"/>
          <w:szCs w:val="32"/>
        </w:rPr>
        <w:t>394.05</w:t>
      </w:r>
      <w:r>
        <w:rPr>
          <w:rFonts w:hint="eastAsia" w:ascii="仿宋_GB2312" w:hAnsi="仿宋_GB2312" w:eastAsia="仿宋_GB2312" w:cs="仿宋_GB2312"/>
          <w:sz w:val="32"/>
          <w:szCs w:val="32"/>
        </w:rPr>
        <w:t>万元，比</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年预算数增加</w:t>
      </w:r>
      <w:r>
        <w:rPr>
          <w:rFonts w:ascii="仿宋_GB2312" w:hAnsi="仿宋_GB2312" w:eastAsia="仿宋_GB2312" w:cs="仿宋_GB2312"/>
          <w:sz w:val="32"/>
          <w:szCs w:val="32"/>
        </w:rPr>
        <w:t>79.69</w:t>
      </w:r>
      <w:r>
        <w:rPr>
          <w:rFonts w:hint="eastAsia" w:ascii="仿宋_GB2312" w:hAnsi="仿宋_GB2312" w:eastAsia="仿宋_GB2312" w:cs="仿宋_GB2312"/>
          <w:sz w:val="32"/>
          <w:szCs w:val="32"/>
        </w:rPr>
        <w:t>万元，主要原因是人员增加，工资及公用经费增加。</w:t>
      </w:r>
    </w:p>
    <w:p>
      <w:pPr>
        <w:spacing w:line="576" w:lineRule="exact"/>
        <w:ind w:firstLine="640" w:firstLineChars="200"/>
        <w:outlineLvl w:val="1"/>
        <w:rPr>
          <w:rFonts w:ascii="楷体_GB2312" w:hAnsi="楷体_GB2312" w:eastAsia="楷体_GB2312" w:cs="楷体_GB2312"/>
          <w:sz w:val="32"/>
          <w:szCs w:val="32"/>
        </w:rPr>
      </w:pPr>
      <w:bookmarkStart w:id="10" w:name="_Toc13746"/>
      <w:r>
        <w:rPr>
          <w:rFonts w:hint="eastAsia" w:ascii="楷体_GB2312" w:hAnsi="楷体_GB2312" w:eastAsia="楷体_GB2312" w:cs="楷体_GB2312"/>
          <w:sz w:val="32"/>
          <w:szCs w:val="32"/>
        </w:rPr>
        <w:t>（二）一般公共预算当年拨款结构情况</w:t>
      </w:r>
      <w:bookmarkEnd w:id="10"/>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346.58</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87.96%</w:t>
      </w:r>
      <w:r>
        <w:rPr>
          <w:rFonts w:hint="eastAsia" w:ascii="仿宋_GB2312" w:hAnsi="仿宋_GB2312" w:eastAsia="仿宋_GB2312" w:cs="仿宋_GB2312"/>
          <w:sz w:val="32"/>
          <w:szCs w:val="32"/>
        </w:rPr>
        <w:t>；卫生健康支出</w:t>
      </w:r>
      <w:r>
        <w:rPr>
          <w:rFonts w:ascii="仿宋_GB2312" w:hAnsi="仿宋_GB2312" w:eastAsia="仿宋_GB2312" w:cs="仿宋_GB2312"/>
          <w:sz w:val="32"/>
          <w:szCs w:val="32"/>
        </w:rPr>
        <w:t>17.82</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4.53%</w:t>
      </w:r>
      <w:r>
        <w:rPr>
          <w:rFonts w:hint="eastAsia" w:ascii="仿宋_GB2312" w:hAnsi="仿宋_GB2312" w:eastAsia="仿宋_GB2312" w:cs="仿宋_GB2312"/>
          <w:sz w:val="32"/>
          <w:szCs w:val="32"/>
        </w:rPr>
        <w:t>；住房保障支出</w:t>
      </w:r>
      <w:r>
        <w:rPr>
          <w:rFonts w:ascii="仿宋_GB2312" w:hAnsi="仿宋_GB2312" w:eastAsia="仿宋_GB2312" w:cs="仿宋_GB2312"/>
          <w:sz w:val="32"/>
          <w:szCs w:val="32"/>
        </w:rPr>
        <w:t>29.65</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7.53%</w:t>
      </w:r>
      <w:r>
        <w:rPr>
          <w:rFonts w:hint="eastAsia" w:ascii="仿宋_GB2312" w:hAnsi="仿宋_GB2312" w:eastAsia="仿宋_GB2312" w:cs="仿宋_GB2312"/>
          <w:sz w:val="32"/>
          <w:szCs w:val="32"/>
        </w:rPr>
        <w:t>。</w:t>
      </w:r>
    </w:p>
    <w:p>
      <w:pPr>
        <w:spacing w:line="576" w:lineRule="exact"/>
        <w:ind w:firstLine="640" w:firstLineChars="200"/>
        <w:outlineLvl w:val="1"/>
        <w:rPr>
          <w:rFonts w:ascii="楷体_GB2312" w:hAnsi="楷体_GB2312" w:eastAsia="楷体_GB2312" w:cs="楷体_GB2312"/>
          <w:sz w:val="32"/>
          <w:szCs w:val="32"/>
        </w:rPr>
      </w:pPr>
      <w:bookmarkStart w:id="11" w:name="_Toc29514"/>
      <w:r>
        <w:rPr>
          <w:rFonts w:hint="eastAsia" w:ascii="楷体_GB2312" w:hAnsi="楷体_GB2312" w:eastAsia="楷体_GB2312" w:cs="楷体_GB2312"/>
          <w:sz w:val="32"/>
          <w:szCs w:val="32"/>
        </w:rPr>
        <w:t>（三）一般公共预算当年拨款具体使用情况</w:t>
      </w:r>
      <w:bookmarkEnd w:id="11"/>
    </w:p>
    <w:p>
      <w:pPr>
        <w:spacing w:line="576" w:lineRule="exact"/>
        <w:ind w:firstLine="640" w:firstLineChars="200"/>
        <w:rPr>
          <w:rFonts w:ascii="仿宋_GB2312" w:hAnsi="仿宋_GB2312" w:eastAsia="仿宋_GB2312" w:cs="仿宋_GB2312"/>
          <w:kern w:val="0"/>
          <w:sz w:val="32"/>
          <w:szCs w:val="32"/>
          <w:shd w:val="clear" w:color="auto" w:fill="FFFFFF"/>
        </w:rPr>
      </w:pPr>
      <w:r>
        <w:rPr>
          <w:rFonts w:ascii="仿宋_GB2312" w:hAnsi="仿宋_GB2312" w:eastAsia="仿宋_GB2312" w:cs="仿宋_GB2312"/>
          <w:sz w:val="32"/>
          <w:szCs w:val="32"/>
        </w:rPr>
        <w:t>1.</w:t>
      </w:r>
      <w:r>
        <w:rPr>
          <w:rFonts w:hint="eastAsia" w:ascii="仿宋_GB2312" w:hAnsi="仿宋_GB2312" w:eastAsia="仿宋_GB2312" w:cs="仿宋_GB2312"/>
          <w:kern w:val="0"/>
          <w:sz w:val="32"/>
          <w:szCs w:val="32"/>
          <w:shd w:val="clear" w:color="auto" w:fill="FFFFFF"/>
        </w:rPr>
        <w:t>社会保障和就业（类）行政事业单位养老支出（款）机关事业单位基本养老保险缴费支出（项）</w:t>
      </w:r>
      <w:r>
        <w:rPr>
          <w:rFonts w:ascii="仿宋_GB2312" w:hAnsi="仿宋_GB2312" w:eastAsia="仿宋_GB2312" w:cs="仿宋_GB2312"/>
          <w:kern w:val="0"/>
          <w:sz w:val="32"/>
          <w:szCs w:val="32"/>
          <w:shd w:val="clear" w:color="auto" w:fill="FFFFFF"/>
        </w:rPr>
        <w:t>2024</w:t>
      </w:r>
      <w:r>
        <w:rPr>
          <w:rFonts w:hint="eastAsia" w:ascii="仿宋_GB2312" w:hAnsi="仿宋_GB2312" w:eastAsia="仿宋_GB2312" w:cs="仿宋_GB2312"/>
          <w:kern w:val="0"/>
          <w:sz w:val="32"/>
          <w:szCs w:val="32"/>
          <w:shd w:val="clear" w:color="auto" w:fill="FFFFFF"/>
        </w:rPr>
        <w:t>年预算数为</w:t>
      </w:r>
      <w:r>
        <w:rPr>
          <w:rFonts w:ascii="仿宋_GB2312" w:hAnsi="仿宋_GB2312" w:eastAsia="仿宋_GB2312" w:cs="仿宋_GB2312"/>
          <w:kern w:val="0"/>
          <w:sz w:val="32"/>
          <w:szCs w:val="32"/>
          <w:shd w:val="clear" w:color="auto" w:fill="FFFFFF"/>
        </w:rPr>
        <w:t>34.35</w:t>
      </w:r>
      <w:r>
        <w:rPr>
          <w:rFonts w:hint="eastAsia" w:ascii="仿宋_GB2312" w:hAnsi="仿宋_GB2312" w:eastAsia="仿宋_GB2312" w:cs="仿宋_GB2312"/>
          <w:kern w:val="0"/>
          <w:sz w:val="32"/>
          <w:szCs w:val="32"/>
          <w:shd w:val="clear" w:color="auto" w:fill="FFFFFF"/>
        </w:rPr>
        <w:t>万元，主要用于：实施养老保险制度由单位缴纳的基本养老保险支出。</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kern w:val="0"/>
          <w:sz w:val="32"/>
          <w:szCs w:val="32"/>
          <w:shd w:val="clear" w:color="auto" w:fill="FFFFFF"/>
        </w:rPr>
        <w:t>社会保障和就业</w:t>
      </w:r>
      <w:r>
        <w:rPr>
          <w:rFonts w:hint="eastAsia" w:ascii="仿宋_GB2312" w:hAnsi="仿宋_GB2312" w:eastAsia="仿宋_GB2312" w:cs="仿宋_GB2312"/>
          <w:sz w:val="32"/>
          <w:szCs w:val="32"/>
        </w:rPr>
        <w:t>（类）退役军人管理事务（款）事业运行（项）</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年预算数为</w:t>
      </w:r>
      <w:r>
        <w:rPr>
          <w:rFonts w:ascii="仿宋_GB2312" w:hAnsi="仿宋_GB2312" w:eastAsia="仿宋_GB2312" w:cs="仿宋_GB2312"/>
          <w:sz w:val="32"/>
          <w:szCs w:val="32"/>
        </w:rPr>
        <w:t>312.23</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kern w:val="0"/>
          <w:sz w:val="32"/>
          <w:szCs w:val="32"/>
          <w:shd w:val="clear" w:color="auto" w:fill="FFFFFF"/>
        </w:rPr>
        <w:t>市光荣院的基本支出，保障干部职工人员经费按时足额发放，保障单位日常办公等经常性开支。</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卫生健康支出（类）公立医院（款）优抚医院（项）</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年预算数为</w:t>
      </w:r>
      <w:r>
        <w:rPr>
          <w:rFonts w:ascii="仿宋_GB2312" w:hAnsi="仿宋_GB2312" w:eastAsia="仿宋_GB2312" w:cs="仿宋_GB2312"/>
          <w:sz w:val="32"/>
          <w:szCs w:val="32"/>
        </w:rPr>
        <w:t>6.83</w:t>
      </w:r>
      <w:r>
        <w:rPr>
          <w:rFonts w:hint="eastAsia" w:ascii="仿宋_GB2312" w:hAnsi="仿宋_GB2312" w:eastAsia="仿宋_GB2312" w:cs="仿宋_GB2312"/>
          <w:sz w:val="32"/>
          <w:szCs w:val="32"/>
        </w:rPr>
        <w:t>万元，主要用于：市优抚医院</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年业务用房租金。</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kern w:val="0"/>
          <w:sz w:val="32"/>
          <w:szCs w:val="32"/>
          <w:shd w:val="clear" w:color="auto" w:fill="FFFFFF"/>
        </w:rPr>
        <w:t>卫生健康支出（类）行政事业单位医疗（款）事业单位医疗（项）</w:t>
      </w:r>
      <w:r>
        <w:rPr>
          <w:rFonts w:ascii="仿宋_GB2312" w:hAnsi="仿宋_GB2312" w:eastAsia="仿宋_GB2312" w:cs="仿宋_GB2312"/>
          <w:kern w:val="0"/>
          <w:sz w:val="32"/>
          <w:szCs w:val="32"/>
          <w:shd w:val="clear" w:color="auto" w:fill="FFFFFF"/>
        </w:rPr>
        <w:t>2024</w:t>
      </w:r>
      <w:r>
        <w:rPr>
          <w:rFonts w:hint="eastAsia" w:ascii="仿宋_GB2312" w:hAnsi="仿宋_GB2312" w:eastAsia="仿宋_GB2312" w:cs="仿宋_GB2312"/>
          <w:kern w:val="0"/>
          <w:sz w:val="32"/>
          <w:szCs w:val="32"/>
          <w:shd w:val="clear" w:color="auto" w:fill="FFFFFF"/>
        </w:rPr>
        <w:t>年预算数为</w:t>
      </w:r>
      <w:r>
        <w:rPr>
          <w:rFonts w:ascii="仿宋_GB2312" w:hAnsi="仿宋_GB2312" w:eastAsia="仿宋_GB2312" w:cs="仿宋_GB2312"/>
          <w:kern w:val="0"/>
          <w:sz w:val="32"/>
          <w:szCs w:val="32"/>
          <w:shd w:val="clear" w:color="auto" w:fill="FFFFFF"/>
        </w:rPr>
        <w:t>10.99</w:t>
      </w:r>
      <w:r>
        <w:rPr>
          <w:rFonts w:hint="eastAsia" w:ascii="仿宋_GB2312" w:hAnsi="仿宋_GB2312" w:eastAsia="仿宋_GB2312" w:cs="仿宋_GB2312"/>
          <w:kern w:val="0"/>
          <w:sz w:val="32"/>
          <w:szCs w:val="32"/>
          <w:shd w:val="clear" w:color="auto" w:fill="FFFFFF"/>
        </w:rPr>
        <w:t>万元，主要用于：按规定由单位缴纳的基本医疗保险支出。</w:t>
      </w:r>
    </w:p>
    <w:p>
      <w:pPr>
        <w:spacing w:line="576" w:lineRule="exact"/>
        <w:ind w:firstLine="640" w:firstLineChars="200"/>
        <w:rPr>
          <w:rFonts w:hint="eastAsia" w:ascii="仿宋_GB2312" w:hAnsi="仿宋_GB2312" w:eastAsia="仿宋_GB2312" w:cs="仿宋_GB2312"/>
          <w:kern w:val="0"/>
          <w:sz w:val="32"/>
          <w:szCs w:val="32"/>
          <w:shd w:val="clear" w:color="auto" w:fill="FFFFFF"/>
        </w:rPr>
      </w:pPr>
      <w:r>
        <w:rPr>
          <w:rFonts w:ascii="仿宋_GB2312" w:hAnsi="仿宋_GB2312" w:eastAsia="仿宋_GB2312" w:cs="仿宋_GB2312"/>
          <w:sz w:val="32"/>
          <w:szCs w:val="32"/>
        </w:rPr>
        <w:t>5.</w:t>
      </w:r>
      <w:r>
        <w:rPr>
          <w:rFonts w:hint="eastAsia" w:ascii="仿宋_GB2312" w:hAnsi="仿宋_GB2312" w:eastAsia="仿宋_GB2312" w:cs="仿宋_GB2312"/>
          <w:kern w:val="0"/>
          <w:sz w:val="32"/>
          <w:szCs w:val="32"/>
          <w:shd w:val="clear" w:color="auto" w:fill="FFFFFF"/>
        </w:rPr>
        <w:t>住房保障（类）住房改革支出（款）住房公积金（项）</w:t>
      </w:r>
      <w:r>
        <w:rPr>
          <w:rFonts w:ascii="仿宋_GB2312" w:hAnsi="仿宋_GB2312" w:eastAsia="仿宋_GB2312" w:cs="仿宋_GB2312"/>
          <w:kern w:val="0"/>
          <w:sz w:val="32"/>
          <w:szCs w:val="32"/>
          <w:shd w:val="clear" w:color="auto" w:fill="FFFFFF"/>
        </w:rPr>
        <w:t>2024</w:t>
      </w:r>
      <w:r>
        <w:rPr>
          <w:rFonts w:hint="eastAsia" w:ascii="仿宋_GB2312" w:hAnsi="仿宋_GB2312" w:eastAsia="仿宋_GB2312" w:cs="仿宋_GB2312"/>
          <w:sz w:val="32"/>
          <w:szCs w:val="32"/>
        </w:rPr>
        <w:t>年预算数为</w:t>
      </w:r>
      <w:r>
        <w:rPr>
          <w:rFonts w:ascii="仿宋_GB2312" w:hAnsi="仿宋_GB2312" w:eastAsia="仿宋_GB2312" w:cs="仿宋_GB2312"/>
          <w:sz w:val="32"/>
          <w:szCs w:val="32"/>
        </w:rPr>
        <w:t>29.65</w:t>
      </w:r>
      <w:r>
        <w:rPr>
          <w:rFonts w:hint="eastAsia" w:ascii="仿宋_GB2312" w:hAnsi="仿宋_GB2312" w:eastAsia="仿宋_GB2312" w:cs="仿宋_GB2312"/>
          <w:sz w:val="32"/>
          <w:szCs w:val="32"/>
        </w:rPr>
        <w:t>万元，主要用于：按规定为职工缴纳的住房公</w:t>
      </w:r>
      <w:r>
        <w:rPr>
          <w:rFonts w:hint="eastAsia" w:ascii="仿宋_GB2312" w:hAnsi="仿宋_GB2312" w:eastAsia="仿宋_GB2312" w:cs="仿宋_GB2312"/>
          <w:kern w:val="0"/>
          <w:sz w:val="32"/>
          <w:szCs w:val="32"/>
          <w:shd w:val="clear" w:color="auto" w:fill="FFFFFF"/>
        </w:rPr>
        <w:t>积金支出。</w:t>
      </w:r>
    </w:p>
    <w:p>
      <w:pPr>
        <w:spacing w:line="576" w:lineRule="exact"/>
        <w:ind w:firstLine="640" w:firstLineChars="200"/>
        <w:outlineLvl w:val="0"/>
        <w:rPr>
          <w:rFonts w:hint="eastAsia" w:ascii="黑体" w:hAnsi="黑体" w:eastAsia="黑体" w:cs="黑体"/>
          <w:kern w:val="0"/>
          <w:sz w:val="32"/>
          <w:szCs w:val="32"/>
          <w:shd w:val="clear" w:color="auto" w:fill="FFFFFF"/>
        </w:rPr>
      </w:pPr>
      <w:bookmarkStart w:id="12" w:name="_Toc13337"/>
      <w:r>
        <w:rPr>
          <w:rFonts w:hint="eastAsia" w:ascii="黑体" w:hAnsi="黑体" w:eastAsia="黑体" w:cs="黑体"/>
          <w:kern w:val="0"/>
          <w:sz w:val="32"/>
          <w:szCs w:val="32"/>
          <w:shd w:val="clear" w:color="auto" w:fill="FFFFFF"/>
        </w:rPr>
        <w:t>六、一般公共预算基本支出情况说明</w:t>
      </w:r>
      <w:bookmarkEnd w:id="12"/>
    </w:p>
    <w:p>
      <w:pPr>
        <w:spacing w:line="576" w:lineRule="exact"/>
        <w:ind w:firstLine="640" w:firstLineChars="200"/>
        <w:rPr>
          <w:rFonts w:hint="eastAsia"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广元市光荣院2024年一般公共预算基本支出378.08万元，其中：</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ascii="仿宋_GB2312" w:hAnsi="仿宋_GB2312" w:eastAsia="仿宋_GB2312" w:cs="仿宋_GB2312"/>
          <w:sz w:val="32"/>
          <w:szCs w:val="32"/>
        </w:rPr>
        <w:t>342.58</w:t>
      </w:r>
      <w:r>
        <w:rPr>
          <w:rFonts w:hint="eastAsia" w:ascii="仿宋_GB2312" w:hAnsi="仿宋_GB2312" w:eastAsia="仿宋_GB2312" w:cs="仿宋_GB2312"/>
          <w:sz w:val="32"/>
          <w:szCs w:val="32"/>
        </w:rPr>
        <w:t>万元，主要包括：基本工资、津贴补贴、奖金、</w:t>
      </w:r>
      <w:r>
        <w:rPr>
          <w:rFonts w:hint="default" w:ascii="仿宋_GB2312" w:hAnsi="仿宋_GB2312" w:eastAsia="仿宋_GB2312" w:cs="仿宋_GB2312"/>
          <w:sz w:val="32"/>
          <w:szCs w:val="32"/>
        </w:rPr>
        <w:t>绩效工资、</w:t>
      </w:r>
      <w:r>
        <w:rPr>
          <w:rFonts w:hint="eastAsia" w:ascii="仿宋_GB2312" w:hAnsi="仿宋_GB2312" w:eastAsia="仿宋_GB2312" w:cs="仿宋_GB2312"/>
          <w:sz w:val="32"/>
          <w:szCs w:val="32"/>
        </w:rPr>
        <w:t>社会保险缴费、住房公积金、</w:t>
      </w:r>
      <w:r>
        <w:rPr>
          <w:rFonts w:hint="default" w:ascii="仿宋_GB2312" w:hAnsi="仿宋_GB2312" w:eastAsia="仿宋_GB2312" w:cs="仿宋_GB2312"/>
          <w:sz w:val="32"/>
          <w:szCs w:val="32"/>
        </w:rPr>
        <w:t>生活补助</w:t>
      </w:r>
      <w:r>
        <w:rPr>
          <w:rFonts w:hint="eastAsia" w:ascii="仿宋_GB2312" w:hAnsi="仿宋_GB2312" w:eastAsia="仿宋_GB2312" w:cs="仿宋_GB2312"/>
          <w:sz w:val="32"/>
          <w:szCs w:val="32"/>
        </w:rPr>
        <w:t>等支出。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w:t>
      </w:r>
      <w:r>
        <w:rPr>
          <w:rFonts w:ascii="仿宋_GB2312" w:hAnsi="仿宋_GB2312" w:eastAsia="仿宋_GB2312" w:cs="仿宋_GB2312"/>
          <w:sz w:val="32"/>
          <w:szCs w:val="32"/>
        </w:rPr>
        <w:t>35.50</w:t>
      </w:r>
      <w:r>
        <w:rPr>
          <w:rFonts w:hint="eastAsia" w:ascii="仿宋_GB2312" w:hAnsi="仿宋_GB2312" w:eastAsia="仿宋_GB2312" w:cs="仿宋_GB2312"/>
          <w:sz w:val="32"/>
          <w:szCs w:val="32"/>
        </w:rPr>
        <w:t>万元，主要包括：办公费、印刷费</w:t>
      </w:r>
      <w:r>
        <w:rPr>
          <w:rFonts w:hint="default" w:ascii="仿宋_GB2312" w:hAnsi="仿宋_GB2312" w:eastAsia="仿宋_GB2312" w:cs="仿宋_GB2312"/>
          <w:sz w:val="32"/>
          <w:szCs w:val="32"/>
        </w:rPr>
        <w:t>、咨询费</w:t>
      </w:r>
      <w:r>
        <w:rPr>
          <w:rFonts w:hint="eastAsia" w:ascii="仿宋_GB2312" w:hAnsi="仿宋_GB2312" w:eastAsia="仿宋_GB2312" w:cs="仿宋_GB2312"/>
          <w:sz w:val="32"/>
          <w:szCs w:val="32"/>
        </w:rPr>
        <w:t>水费、电费、邮电费、差旅费、维修（护）费、培训费、公务接待费、</w:t>
      </w:r>
      <w:r>
        <w:rPr>
          <w:rFonts w:hint="default" w:ascii="仿宋_GB2312" w:hAnsi="仿宋_GB2312" w:eastAsia="仿宋_GB2312" w:cs="仿宋_GB2312"/>
          <w:sz w:val="32"/>
          <w:szCs w:val="32"/>
        </w:rPr>
        <w:t>委托业务费、</w:t>
      </w:r>
      <w:r>
        <w:rPr>
          <w:rFonts w:hint="eastAsia" w:ascii="仿宋_GB2312" w:hAnsi="仿宋_GB2312" w:eastAsia="仿宋_GB2312" w:cs="仿宋_GB2312"/>
          <w:sz w:val="32"/>
          <w:szCs w:val="32"/>
        </w:rPr>
        <w:t>工会经费、福利费、公务用车运行维护费</w:t>
      </w:r>
      <w:r>
        <w:rPr>
          <w:rFonts w:hint="default"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rPr>
        <w:t>等支出。</w:t>
      </w:r>
    </w:p>
    <w:p>
      <w:pPr>
        <w:spacing w:line="576" w:lineRule="exact"/>
        <w:ind w:firstLine="640" w:firstLineChars="200"/>
        <w:outlineLvl w:val="0"/>
        <w:rPr>
          <w:rFonts w:ascii="黑体" w:hAnsi="黑体" w:eastAsia="黑体" w:cs="黑体"/>
          <w:sz w:val="32"/>
          <w:szCs w:val="32"/>
        </w:rPr>
      </w:pPr>
      <w:bookmarkStart w:id="13" w:name="_Toc32475"/>
      <w:r>
        <w:rPr>
          <w:rFonts w:hint="eastAsia" w:ascii="黑体" w:hAnsi="黑体" w:eastAsia="黑体" w:cs="黑体"/>
          <w:sz w:val="32"/>
          <w:szCs w:val="32"/>
        </w:rPr>
        <w:t>七、“三公”经费财政拨款预算安排情况说明</w:t>
      </w:r>
      <w:bookmarkEnd w:id="13"/>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广元市光荣院</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w:t>
      </w:r>
      <w:r>
        <w:rPr>
          <w:rFonts w:hint="eastAsia" w:ascii="仿宋_GB2312" w:hAnsi="仿宋_GB2312" w:eastAsia="仿宋_GB2312" w:cs="仿宋_GB2312"/>
          <w:kern w:val="0"/>
          <w:sz w:val="32"/>
          <w:szCs w:val="32"/>
          <w:shd w:val="clear" w:color="auto" w:fill="FFFFFF"/>
        </w:rPr>
        <w:t>“三公”经费财政拨款预算数</w:t>
      </w:r>
      <w:r>
        <w:rPr>
          <w:rFonts w:ascii="仿宋_GB2312" w:hAnsi="仿宋_GB2312" w:eastAsia="仿宋_GB2312" w:cs="仿宋_GB2312"/>
          <w:kern w:val="0"/>
          <w:sz w:val="32"/>
          <w:szCs w:val="32"/>
          <w:shd w:val="clear" w:color="auto" w:fill="FFFFFF"/>
        </w:rPr>
        <w:t>2.8</w:t>
      </w:r>
      <w:r>
        <w:rPr>
          <w:rFonts w:hint="eastAsia" w:ascii="仿宋_GB2312" w:hAnsi="仿宋_GB2312" w:eastAsia="仿宋_GB2312" w:cs="仿宋_GB2312"/>
          <w:kern w:val="0"/>
          <w:sz w:val="32"/>
          <w:szCs w:val="32"/>
          <w:shd w:val="clear" w:color="auto" w:fill="FFFFFF"/>
        </w:rPr>
        <w:t>万元，其中：公务接待费</w:t>
      </w:r>
      <w:r>
        <w:rPr>
          <w:rFonts w:ascii="仿宋_GB2312" w:hAnsi="仿宋_GB2312" w:eastAsia="仿宋_GB2312" w:cs="仿宋_GB2312"/>
          <w:kern w:val="0"/>
          <w:sz w:val="32"/>
          <w:szCs w:val="32"/>
          <w:shd w:val="clear" w:color="auto" w:fill="FFFFFF"/>
        </w:rPr>
        <w:t>0.8</w:t>
      </w:r>
      <w:r>
        <w:rPr>
          <w:rFonts w:hint="eastAsia" w:ascii="仿宋_GB2312" w:hAnsi="仿宋_GB2312" w:eastAsia="仿宋_GB2312" w:cs="仿宋_GB2312"/>
          <w:kern w:val="0"/>
          <w:sz w:val="32"/>
          <w:szCs w:val="32"/>
          <w:shd w:val="clear" w:color="auto" w:fill="FFFFFF"/>
        </w:rPr>
        <w:t>万元，公务用车购置及运行维护费</w:t>
      </w:r>
      <w:r>
        <w:rPr>
          <w:rFonts w:ascii="仿宋_GB2312" w:hAnsi="仿宋_GB2312" w:eastAsia="仿宋_GB2312" w:cs="仿宋_GB2312"/>
          <w:kern w:val="0"/>
          <w:sz w:val="32"/>
          <w:szCs w:val="32"/>
          <w:shd w:val="clear" w:color="auto" w:fill="FFFFFF"/>
        </w:rPr>
        <w:t>2</w:t>
      </w:r>
      <w:r>
        <w:rPr>
          <w:rFonts w:hint="eastAsia" w:ascii="仿宋_GB2312" w:hAnsi="仿宋_GB2312" w:eastAsia="仿宋_GB2312" w:cs="仿宋_GB2312"/>
          <w:kern w:val="0"/>
          <w:sz w:val="32"/>
          <w:szCs w:val="32"/>
          <w:shd w:val="clear" w:color="auto" w:fill="FFFFFF"/>
        </w:rPr>
        <w:t>万元，</w:t>
      </w:r>
      <w:r>
        <w:rPr>
          <w:rFonts w:hint="eastAsia" w:ascii="仿宋_GB2312" w:hAnsi="仿宋_GB2312" w:eastAsia="仿宋_GB2312" w:cs="仿宋_GB2312"/>
          <w:sz w:val="32"/>
          <w:szCs w:val="32"/>
        </w:rPr>
        <w:t>因公出国（境）经费</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76" w:lineRule="exact"/>
        <w:ind w:firstLine="640" w:firstLineChars="200"/>
        <w:outlineLvl w:val="1"/>
        <w:rPr>
          <w:rFonts w:ascii="楷体_GB2312" w:hAnsi="楷体_GB2312" w:eastAsia="楷体_GB2312" w:cs="楷体_GB2312"/>
          <w:sz w:val="32"/>
          <w:szCs w:val="32"/>
        </w:rPr>
      </w:pPr>
      <w:bookmarkStart w:id="14" w:name="_Toc18745"/>
      <w:r>
        <w:rPr>
          <w:rFonts w:hint="eastAsia" w:ascii="楷体_GB2312" w:hAnsi="楷体_GB2312" w:eastAsia="楷体_GB2312" w:cs="楷体_GB2312"/>
          <w:sz w:val="32"/>
          <w:szCs w:val="32"/>
        </w:rPr>
        <w:t>（一）公务接待费</w:t>
      </w:r>
      <w:bookmarkEnd w:id="14"/>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年预算相比持平。</w:t>
      </w:r>
    </w:p>
    <w:p>
      <w:pPr>
        <w:spacing w:line="576" w:lineRule="exact"/>
        <w:ind w:firstLine="640" w:firstLineChars="200"/>
        <w:rPr>
          <w:rFonts w:ascii="仿宋_GB2312" w:hAnsi="仿宋_GB2312" w:eastAsia="仿宋_GB2312" w:cs="仿宋_GB2312"/>
          <w:b/>
          <w:bCs/>
          <w:sz w:val="32"/>
          <w:szCs w:val="32"/>
        </w:rPr>
      </w:pP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年公务接待费计划用于执行接待考察调研、检查指导等公务活动开支的交通费、住宿费、用餐费等。</w:t>
      </w:r>
    </w:p>
    <w:p>
      <w:pPr>
        <w:numPr>
          <w:ilvl w:val="0"/>
          <w:numId w:val="1"/>
        </w:numPr>
        <w:spacing w:line="576" w:lineRule="exact"/>
        <w:ind w:firstLine="640" w:firstLineChars="200"/>
        <w:outlineLvl w:val="1"/>
        <w:rPr>
          <w:rFonts w:ascii="楷体_GB2312" w:hAnsi="楷体_GB2312" w:eastAsia="楷体_GB2312" w:cs="楷体_GB2312"/>
          <w:sz w:val="32"/>
          <w:szCs w:val="32"/>
        </w:rPr>
      </w:pPr>
      <w:bookmarkStart w:id="15" w:name="_Toc13219"/>
      <w:r>
        <w:rPr>
          <w:rFonts w:hint="eastAsia" w:ascii="楷体_GB2312" w:hAnsi="楷体_GB2312" w:eastAsia="楷体_GB2312" w:cs="楷体_GB2312"/>
          <w:sz w:val="32"/>
          <w:szCs w:val="32"/>
        </w:rPr>
        <w:t>公务用车购置及运行维护费</w:t>
      </w:r>
      <w:bookmarkEnd w:id="15"/>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公务用车购置及运行维护费与</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年预算相比持平。</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辆，其中：轿车</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年未安排公务用车购置费。</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年安排公务用车运行维护费</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万元，用于</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辆公务用车燃油、过路（桥）、维修、保险等方面支出，主要保障</w:t>
      </w:r>
      <w:r>
        <w:rPr>
          <w:rFonts w:hint="eastAsia" w:ascii="仿宋_GB2312" w:hAnsi="仿宋_GB2312" w:eastAsia="仿宋_GB2312" w:cs="仿宋_GB2312"/>
          <w:kern w:val="0"/>
          <w:sz w:val="32"/>
          <w:szCs w:val="32"/>
          <w:shd w:val="clear" w:color="auto" w:fill="FFFFFF"/>
        </w:rPr>
        <w:t>单位日常业务及保障供养对象出行等工作开展。</w:t>
      </w:r>
    </w:p>
    <w:p>
      <w:pPr>
        <w:spacing w:line="576" w:lineRule="exact"/>
        <w:outlineLvl w:val="1"/>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bookmarkStart w:id="16" w:name="_Toc31621"/>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16"/>
    </w:p>
    <w:p>
      <w:pPr>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因公出国（境）经费与</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年预算相比持平。</w:t>
      </w:r>
      <w:r>
        <w:rPr>
          <w:rFonts w:hint="eastAsia" w:ascii="仿宋_GB2312" w:hAnsi="仿宋_GB2312" w:eastAsia="仿宋_GB2312" w:cs="仿宋_GB2312"/>
          <w:sz w:val="32"/>
          <w:szCs w:val="32"/>
          <w:lang w:val="en-US" w:eastAsia="zh-CN"/>
        </w:rPr>
        <w:t>2024年无</w:t>
      </w:r>
      <w:r>
        <w:rPr>
          <w:rFonts w:hint="eastAsia" w:ascii="仿宋_GB2312" w:hAnsi="仿宋_GB2312" w:eastAsia="仿宋_GB2312" w:cs="仿宋_GB2312"/>
          <w:sz w:val="32"/>
          <w:szCs w:val="32"/>
        </w:rPr>
        <w:t>因公出国（境）</w:t>
      </w:r>
      <w:r>
        <w:rPr>
          <w:rFonts w:hint="eastAsia" w:ascii="仿宋_GB2312" w:hAnsi="仿宋_GB2312" w:eastAsia="仿宋_GB2312" w:cs="仿宋_GB2312"/>
          <w:sz w:val="32"/>
          <w:szCs w:val="32"/>
          <w:lang w:eastAsia="zh-CN"/>
        </w:rPr>
        <w:t>计划。</w:t>
      </w:r>
      <w:bookmarkStart w:id="27" w:name="_GoBack"/>
      <w:bookmarkEnd w:id="27"/>
    </w:p>
    <w:p>
      <w:pPr>
        <w:spacing w:line="576" w:lineRule="exact"/>
        <w:ind w:firstLine="640" w:firstLineChars="200"/>
        <w:outlineLvl w:val="0"/>
        <w:rPr>
          <w:rFonts w:ascii="黑体" w:hAnsi="黑体" w:eastAsia="黑体" w:cs="黑体"/>
          <w:sz w:val="32"/>
          <w:szCs w:val="32"/>
        </w:rPr>
      </w:pPr>
      <w:bookmarkStart w:id="17" w:name="_Toc9068"/>
      <w:r>
        <w:rPr>
          <w:rFonts w:hint="eastAsia" w:ascii="黑体" w:hAnsi="黑体" w:eastAsia="黑体" w:cs="黑体"/>
          <w:sz w:val="32"/>
          <w:szCs w:val="32"/>
        </w:rPr>
        <w:t>八、政府性基金预算支出情况说明</w:t>
      </w:r>
      <w:bookmarkEnd w:id="17"/>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广元市光荣院</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年无政府性基金预算拨款安排的支出。</w:t>
      </w:r>
    </w:p>
    <w:p>
      <w:pPr>
        <w:spacing w:line="576" w:lineRule="exact"/>
        <w:ind w:firstLine="640" w:firstLineChars="200"/>
        <w:outlineLvl w:val="0"/>
        <w:rPr>
          <w:rFonts w:ascii="黑体" w:hAnsi="黑体" w:eastAsia="黑体" w:cs="黑体"/>
          <w:sz w:val="32"/>
          <w:szCs w:val="32"/>
        </w:rPr>
      </w:pPr>
      <w:bookmarkStart w:id="18" w:name="_Toc11836"/>
      <w:r>
        <w:rPr>
          <w:rFonts w:hint="eastAsia" w:ascii="黑体" w:hAnsi="黑体" w:eastAsia="黑体" w:cs="黑体"/>
          <w:sz w:val="32"/>
          <w:szCs w:val="32"/>
        </w:rPr>
        <w:t>九、国有资本经营预算支出情况说明</w:t>
      </w:r>
      <w:bookmarkEnd w:id="18"/>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广元市光荣院</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年无国有资本经营预算拨款安排的支出。</w:t>
      </w:r>
    </w:p>
    <w:p>
      <w:pPr>
        <w:numPr>
          <w:ilvl w:val="0"/>
          <w:numId w:val="2"/>
        </w:numPr>
        <w:spacing w:line="576" w:lineRule="exact"/>
        <w:ind w:firstLine="640" w:firstLineChars="200"/>
        <w:outlineLvl w:val="0"/>
        <w:rPr>
          <w:rFonts w:ascii="黑体" w:hAnsi="黑体" w:eastAsia="黑体" w:cs="黑体"/>
          <w:sz w:val="32"/>
          <w:szCs w:val="32"/>
        </w:rPr>
      </w:pPr>
      <w:bookmarkStart w:id="19" w:name="_Toc17071"/>
      <w:r>
        <w:rPr>
          <w:rFonts w:hint="eastAsia" w:ascii="黑体" w:hAnsi="黑体" w:eastAsia="黑体" w:cs="黑体"/>
          <w:sz w:val="32"/>
          <w:szCs w:val="32"/>
        </w:rPr>
        <w:t>其他重要事项的情况说明</w:t>
      </w:r>
      <w:bookmarkEnd w:id="19"/>
    </w:p>
    <w:p>
      <w:pPr>
        <w:spacing w:line="576" w:lineRule="exact"/>
        <w:ind w:firstLine="640" w:firstLineChars="200"/>
        <w:outlineLvl w:val="1"/>
        <w:rPr>
          <w:rFonts w:ascii="楷体_GB2312" w:hAnsi="楷体_GB2312" w:eastAsia="楷体_GB2312" w:cs="楷体_GB2312"/>
          <w:sz w:val="32"/>
          <w:szCs w:val="32"/>
        </w:rPr>
      </w:pPr>
      <w:bookmarkStart w:id="20" w:name="_Toc29023"/>
      <w:bookmarkStart w:id="21" w:name="_Toc30446"/>
      <w:r>
        <w:rPr>
          <w:rFonts w:hint="eastAsia" w:ascii="楷体_GB2312" w:hAnsi="楷体_GB2312" w:eastAsia="楷体_GB2312" w:cs="楷体_GB2312"/>
          <w:sz w:val="32"/>
          <w:szCs w:val="32"/>
        </w:rPr>
        <w:t>（一）机关运行经费</w:t>
      </w:r>
      <w:bookmarkEnd w:id="20"/>
      <w:bookmarkEnd w:id="21"/>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广元市光荣院年为事业单位，按规定未使用机关运行的相关科目。</w:t>
      </w:r>
    </w:p>
    <w:p>
      <w:pPr>
        <w:spacing w:line="576" w:lineRule="exact"/>
        <w:ind w:firstLine="640" w:firstLineChars="200"/>
        <w:outlineLvl w:val="1"/>
        <w:rPr>
          <w:rFonts w:ascii="仿宋_GB2312" w:hAnsi="仿宋_GB2312" w:eastAsia="仿宋_GB2312" w:cs="仿宋_GB2312"/>
          <w:sz w:val="32"/>
          <w:szCs w:val="32"/>
        </w:rPr>
      </w:pPr>
      <w:bookmarkStart w:id="22" w:name="_Toc7363"/>
      <w:bookmarkStart w:id="23" w:name="_Toc16682"/>
      <w:r>
        <w:rPr>
          <w:rFonts w:hint="eastAsia" w:ascii="仿宋_GB2312" w:hAnsi="仿宋_GB2312" w:eastAsia="仿宋_GB2312" w:cs="仿宋_GB2312"/>
          <w:sz w:val="32"/>
          <w:szCs w:val="32"/>
        </w:rPr>
        <w:t>（二）政府采购情况</w:t>
      </w:r>
      <w:bookmarkEnd w:id="22"/>
      <w:bookmarkEnd w:id="23"/>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广元市光荣院</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年安排政府采购预算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76" w:lineRule="exact"/>
        <w:ind w:firstLine="640" w:firstLineChars="200"/>
        <w:outlineLvl w:val="1"/>
        <w:rPr>
          <w:rFonts w:ascii="楷体_GB2312" w:hAnsi="楷体_GB2312" w:eastAsia="楷体_GB2312" w:cs="楷体_GB2312"/>
          <w:sz w:val="32"/>
          <w:szCs w:val="32"/>
        </w:rPr>
      </w:pPr>
      <w:bookmarkStart w:id="24" w:name="_Toc7785"/>
      <w:r>
        <w:rPr>
          <w:rFonts w:hint="eastAsia" w:ascii="楷体_GB2312" w:hAnsi="楷体_GB2312" w:eastAsia="楷体_GB2312" w:cs="楷体_GB2312"/>
          <w:sz w:val="32"/>
          <w:szCs w:val="32"/>
        </w:rPr>
        <w:t>（三）国有资产占有使用情况</w:t>
      </w:r>
      <w:bookmarkEnd w:id="24"/>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年底，广元市光荣院共有车辆</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辆，其中，公务用车</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辆、定向保障用车</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单位无价值</w:t>
      </w:r>
      <w:r>
        <w:rPr>
          <w:rFonts w:ascii="仿宋_GB2312" w:hAnsi="仿宋_GB2312" w:eastAsia="仿宋_GB2312" w:cs="仿宋_GB2312"/>
          <w:sz w:val="32"/>
          <w:szCs w:val="32"/>
        </w:rPr>
        <w:t>200</w:t>
      </w:r>
      <w:r>
        <w:rPr>
          <w:rFonts w:hint="eastAsia" w:ascii="仿宋_GB2312" w:hAnsi="仿宋_GB2312" w:eastAsia="仿宋_GB2312" w:cs="仿宋_GB2312"/>
          <w:sz w:val="32"/>
          <w:szCs w:val="32"/>
        </w:rPr>
        <w:t>万元以上的大型设备。</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年部门预算未安排购置车辆及单位价值</w:t>
      </w:r>
      <w:r>
        <w:rPr>
          <w:rFonts w:ascii="仿宋_GB2312" w:hAnsi="仿宋_GB2312" w:eastAsia="仿宋_GB2312" w:cs="仿宋_GB2312"/>
          <w:sz w:val="32"/>
          <w:szCs w:val="32"/>
        </w:rPr>
        <w:t>200</w:t>
      </w:r>
      <w:r>
        <w:rPr>
          <w:rFonts w:hint="eastAsia" w:ascii="仿宋_GB2312" w:hAnsi="仿宋_GB2312" w:eastAsia="仿宋_GB2312" w:cs="仿宋_GB2312"/>
          <w:sz w:val="32"/>
          <w:szCs w:val="32"/>
        </w:rPr>
        <w:t>万元以上大型设备。</w:t>
      </w:r>
    </w:p>
    <w:p>
      <w:pPr>
        <w:spacing w:line="576" w:lineRule="exact"/>
        <w:ind w:firstLine="640" w:firstLineChars="200"/>
        <w:outlineLvl w:val="1"/>
        <w:rPr>
          <w:rFonts w:ascii="楷体_GB2312" w:hAnsi="楷体_GB2312" w:eastAsia="楷体_GB2312" w:cs="楷体_GB2312"/>
          <w:sz w:val="32"/>
          <w:szCs w:val="32"/>
        </w:rPr>
      </w:pPr>
      <w:bookmarkStart w:id="25" w:name="_Toc16439"/>
      <w:r>
        <w:rPr>
          <w:rFonts w:hint="eastAsia" w:ascii="楷体_GB2312" w:hAnsi="楷体_GB2312" w:eastAsia="楷体_GB2312" w:cs="楷体_GB2312"/>
          <w:sz w:val="32"/>
          <w:szCs w:val="32"/>
        </w:rPr>
        <w:t>（四）绩效目标设置情况</w:t>
      </w:r>
      <w:bookmarkEnd w:id="25"/>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年广元市光荣院开展绩效目标管理的项目</w:t>
      </w:r>
      <w:r>
        <w:rPr>
          <w:rFonts w:ascii="仿宋_GB2312" w:hAnsi="仿宋_GB2312" w:eastAsia="仿宋_GB2312" w:cs="仿宋_GB2312"/>
          <w:sz w:val="32"/>
          <w:szCs w:val="32"/>
        </w:rPr>
        <w:t>13</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394.05</w:t>
      </w:r>
      <w:r>
        <w:rPr>
          <w:rFonts w:hint="eastAsia" w:ascii="仿宋_GB2312" w:hAnsi="仿宋_GB2312" w:eastAsia="仿宋_GB2312" w:cs="仿宋_GB2312"/>
          <w:sz w:val="32"/>
          <w:szCs w:val="32"/>
        </w:rPr>
        <w:t>万元。其中：人员类项目</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 xml:space="preserve"> 342.58</w:t>
      </w:r>
      <w:r>
        <w:rPr>
          <w:rFonts w:hint="eastAsia" w:ascii="仿宋_GB2312" w:hAnsi="仿宋_GB2312" w:eastAsia="仿宋_GB2312" w:cs="仿宋_GB2312"/>
          <w:sz w:val="32"/>
          <w:szCs w:val="32"/>
        </w:rPr>
        <w:t>万元；运转类项目</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35.50</w:t>
      </w:r>
      <w:r>
        <w:rPr>
          <w:rFonts w:hint="eastAsia" w:ascii="仿宋_GB2312" w:hAnsi="仿宋_GB2312" w:eastAsia="仿宋_GB2312" w:cs="仿宋_GB2312"/>
          <w:sz w:val="32"/>
          <w:szCs w:val="32"/>
        </w:rPr>
        <w:t>万元；特定目标类项目</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15.97</w:t>
      </w:r>
      <w:r>
        <w:rPr>
          <w:rFonts w:hint="eastAsia" w:ascii="仿宋_GB2312" w:hAnsi="仿宋_GB2312" w:eastAsia="仿宋_GB2312" w:cs="仿宋_GB2312"/>
          <w:sz w:val="32"/>
          <w:szCs w:val="32"/>
        </w:rPr>
        <w:t>万元。</w:t>
      </w:r>
    </w:p>
    <w:p>
      <w:pPr>
        <w:spacing w:line="576" w:lineRule="exact"/>
        <w:ind w:firstLine="640" w:firstLineChars="200"/>
        <w:outlineLvl w:val="0"/>
        <w:rPr>
          <w:rFonts w:ascii="黑体" w:hAnsi="黑体" w:eastAsia="黑体" w:cs="黑体"/>
          <w:sz w:val="32"/>
          <w:szCs w:val="32"/>
        </w:rPr>
      </w:pPr>
      <w:bookmarkStart w:id="26" w:name="_Toc4057"/>
      <w:r>
        <w:rPr>
          <w:rFonts w:hint="eastAsia" w:ascii="黑体" w:hAnsi="黑体" w:eastAsia="黑体" w:cs="黑体"/>
          <w:sz w:val="32"/>
          <w:szCs w:val="32"/>
        </w:rPr>
        <w:t>十一、名词解释</w:t>
      </w:r>
      <w:bookmarkEnd w:id="26"/>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r>
        <w:rPr>
          <w:rFonts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（二）社会保障和就业（类）行政事业单位养老支出（款）机关事业单位基本养老保险缴费支出（项）：</w:t>
      </w:r>
      <w:r>
        <w:rPr>
          <w:rFonts w:hint="eastAsia" w:ascii="仿宋_GB2312" w:hAnsi="仿宋_GB2312" w:eastAsia="仿宋_GB2312" w:cs="仿宋_GB2312"/>
          <w:sz w:val="32"/>
          <w:szCs w:val="32"/>
        </w:rPr>
        <w:t>指部门实施养老保险制度由单位缴纳的养老保险的支出。</w:t>
      </w:r>
      <w:r>
        <w:rPr>
          <w:rFonts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（三）社会保障和就业（类）退役军人管理事务（款）事业运行（项）：</w:t>
      </w:r>
      <w:r>
        <w:rPr>
          <w:rFonts w:hint="eastAsia" w:ascii="仿宋_GB2312" w:hAnsi="仿宋_GB2312" w:eastAsia="仿宋_GB2312" w:cs="仿宋_GB2312"/>
          <w:sz w:val="32"/>
          <w:szCs w:val="32"/>
        </w:rPr>
        <w:t>指事业单位的基本支出，</w:t>
      </w:r>
      <w:r>
        <w:rPr>
          <w:rFonts w:hint="eastAsia" w:ascii="仿宋_GB2312" w:hAnsi="仿宋_GB2312" w:eastAsia="仿宋_GB2312" w:cs="仿宋_GB2312"/>
          <w:kern w:val="0"/>
          <w:sz w:val="32"/>
          <w:szCs w:val="32"/>
          <w:shd w:val="clear" w:color="auto" w:fill="FFFFFF"/>
        </w:rPr>
        <w:t>干部职工人员经费，单位日常办公等经常性支出</w:t>
      </w:r>
      <w:r>
        <w:rPr>
          <w:rFonts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（四）卫生健康支出（类）公立医院（款）优抚医院（项）：</w:t>
      </w:r>
      <w:r>
        <w:rPr>
          <w:rFonts w:hint="eastAsia" w:ascii="仿宋_GB2312" w:hAnsi="仿宋_GB2312" w:eastAsia="仿宋_GB2312" w:cs="仿宋_GB2312"/>
          <w:sz w:val="32"/>
          <w:szCs w:val="32"/>
        </w:rPr>
        <w:t>指政府集中收治优抚对象，伤残退役军人的医疗机构的支出。</w:t>
      </w:r>
      <w:r>
        <w:rPr>
          <w:rFonts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（五）卫生健康支出（类）行政事业单位医疗（款）事业单位医疗（项）：</w:t>
      </w:r>
      <w:r>
        <w:rPr>
          <w:rFonts w:hint="eastAsia" w:ascii="仿宋_GB2312" w:hAnsi="仿宋_GB2312" w:eastAsia="仿宋_GB2312" w:cs="仿宋_GB2312"/>
          <w:sz w:val="32"/>
          <w:szCs w:val="32"/>
        </w:rPr>
        <w:t>指事业单位用于单位应缴纳基本医疗保险支出。</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（六）住房保障（类）住房改革支出（款）住房公积金（项）：</w:t>
      </w:r>
      <w:r>
        <w:rPr>
          <w:rFonts w:hint="eastAsia" w:ascii="仿宋_GB2312" w:hAnsi="仿宋_GB2312" w:eastAsia="仿宋_GB2312" w:cs="仿宋_GB2312"/>
          <w:sz w:val="32"/>
          <w:szCs w:val="32"/>
        </w:rPr>
        <w:t>指按照《住房公积金管理条例》的规定，由单位及其在职职工缴存的长期住房储金。</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（七）基本支出：</w:t>
      </w:r>
      <w:r>
        <w:rPr>
          <w:rFonts w:hint="eastAsia" w:ascii="仿宋_GB2312" w:hAnsi="仿宋_GB2312" w:eastAsia="仿宋_GB2312" w:cs="仿宋_GB2312"/>
          <w:sz w:val="32"/>
          <w:szCs w:val="32"/>
        </w:rPr>
        <w:t>指为保证机构正常运转，完成日常工作任务而发生的人员支出和公用支出。</w:t>
      </w:r>
      <w:r>
        <w:rPr>
          <w:rFonts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（八）项目支出：</w:t>
      </w:r>
      <w:r>
        <w:rPr>
          <w:rFonts w:hint="eastAsia" w:ascii="仿宋_GB2312" w:hAnsi="仿宋_GB2312" w:eastAsia="仿宋_GB2312" w:cs="仿宋_GB2312"/>
          <w:sz w:val="32"/>
          <w:szCs w:val="32"/>
        </w:rPr>
        <w:t>指在基本支出之外为完成特定行政任务和事业发展目标所发生的支出。</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（九）“三公”经费：</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xml:space="preserve">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default" w:ascii="仿宋_GB2312" w:hAnsi="仿宋_GB2312" w:eastAsia="仿宋_GB2312" w:cs="仿宋_GB2312"/>
          <w:sz w:val="32"/>
          <w:szCs w:val="32"/>
        </w:rPr>
        <w:t>单位</w:t>
      </w:r>
      <w:r>
        <w:rPr>
          <w:rFonts w:hint="eastAsia" w:ascii="仿宋_GB2312" w:hAnsi="仿宋_GB2312" w:eastAsia="仿宋_GB2312" w:cs="仿宋_GB2312"/>
          <w:sz w:val="32"/>
          <w:szCs w:val="32"/>
        </w:rPr>
        <w:t>预算公开表</w:t>
      </w:r>
    </w:p>
    <w:sectPr>
      <w:footerReference r:id="rId6"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方正仿宋简体">
    <w:panose1 w:val="03000509000000000000"/>
    <w:charset w:val="86"/>
    <w:family w:val="auto"/>
    <w:pitch w:val="default"/>
    <w:sig w:usb0="00000001" w:usb1="080E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rPr>
                    <w:rFonts w:ascii="宋体" w:cs="宋体"/>
                    <w:sz w:val="28"/>
                    <w:szCs w:val="28"/>
                  </w:rPr>
                </w:pP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3</w:t>
                </w:r>
                <w:r>
                  <w:rPr>
                    <w:rFonts w:ascii="宋体" w:hAnsi="宋体" w:cs="宋体"/>
                    <w:sz w:val="28"/>
                    <w:szCs w:val="28"/>
                  </w:rPr>
                  <w:fldChar w:fldCharType="end"/>
                </w:r>
                <w:r>
                  <w:rPr>
                    <w:rFonts w:ascii="宋体" w:hAnsi="宋体" w:cs="宋体"/>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A9ECDB"/>
    <w:multiLevelType w:val="singleLevel"/>
    <w:tmpl w:val="CBA9ECDB"/>
    <w:lvl w:ilvl="0" w:tentative="0">
      <w:start w:val="10"/>
      <w:numFmt w:val="chineseCounting"/>
      <w:suff w:val="nothing"/>
      <w:lvlText w:val="%1、"/>
      <w:lvlJc w:val="left"/>
      <w:rPr>
        <w:rFonts w:hint="eastAsia" w:cs="Times New Roman"/>
      </w:rPr>
    </w:lvl>
  </w:abstractNum>
  <w:abstractNum w:abstractNumId="1">
    <w:nsid w:val="5BFCE1D6"/>
    <w:multiLevelType w:val="singleLevel"/>
    <w:tmpl w:val="5BFCE1D6"/>
    <w:lvl w:ilvl="0" w:tentative="0">
      <w:start w:val="2"/>
      <w:numFmt w:val="chineseCounting"/>
      <w:suff w:val="nothing"/>
      <w:lvlText w:val="（%1）"/>
      <w:lvlJc w:val="left"/>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QzMTU5NmIzMTdiYjAyM2ZjZDg3NzBhMmYyNDA5MDUifQ=="/>
  </w:docVars>
  <w:rsids>
    <w:rsidRoot w:val="00D34808"/>
    <w:rsid w:val="0002699E"/>
    <w:rsid w:val="00114DCD"/>
    <w:rsid w:val="001D293C"/>
    <w:rsid w:val="008A3C13"/>
    <w:rsid w:val="00AC6422"/>
    <w:rsid w:val="00D34808"/>
    <w:rsid w:val="00ED4531"/>
    <w:rsid w:val="012352D1"/>
    <w:rsid w:val="094401F6"/>
    <w:rsid w:val="09B77A41"/>
    <w:rsid w:val="113D4209"/>
    <w:rsid w:val="18E43C3F"/>
    <w:rsid w:val="1F0F015E"/>
    <w:rsid w:val="1F7BF06F"/>
    <w:rsid w:val="1F972EEC"/>
    <w:rsid w:val="1FEE4B73"/>
    <w:rsid w:val="23CE9849"/>
    <w:rsid w:val="259E6D3C"/>
    <w:rsid w:val="2B626E0E"/>
    <w:rsid w:val="34323BDF"/>
    <w:rsid w:val="35504103"/>
    <w:rsid w:val="39F304DD"/>
    <w:rsid w:val="3E871ECD"/>
    <w:rsid w:val="40470250"/>
    <w:rsid w:val="4E1909A3"/>
    <w:rsid w:val="54244390"/>
    <w:rsid w:val="546211FA"/>
    <w:rsid w:val="54662A63"/>
    <w:rsid w:val="58064E12"/>
    <w:rsid w:val="59BF613E"/>
    <w:rsid w:val="5BFEE015"/>
    <w:rsid w:val="60113540"/>
    <w:rsid w:val="63EDCF55"/>
    <w:rsid w:val="63FBFBCF"/>
    <w:rsid w:val="669360FD"/>
    <w:rsid w:val="66BB0C2D"/>
    <w:rsid w:val="68FF6A83"/>
    <w:rsid w:val="6D641F65"/>
    <w:rsid w:val="6DCA1641"/>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6FEA6A0"/>
    <w:rsid w:val="E7F748B5"/>
    <w:rsid w:val="EE5F3713"/>
    <w:rsid w:val="EED1C815"/>
    <w:rsid w:val="EEFE1AE5"/>
    <w:rsid w:val="EFC9D62C"/>
    <w:rsid w:val="F1BE033D"/>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qFormat="1" w:unhideWhenUsed="0"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11">
    <w:name w:val="Default Paragraph Font"/>
    <w:semiHidden/>
    <w:uiPriority w:val="99"/>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常用样式（方正仿宋简）"/>
    <w:basedOn w:val="1"/>
    <w:qFormat/>
    <w:uiPriority w:val="99"/>
    <w:pPr>
      <w:spacing w:line="560" w:lineRule="exact"/>
      <w:ind w:firstLine="200" w:firstLineChars="200"/>
    </w:pPr>
    <w:rPr>
      <w:rFonts w:eastAsia="方正仿宋简体"/>
      <w:sz w:val="32"/>
    </w:rPr>
  </w:style>
  <w:style w:type="paragraph" w:styleId="3">
    <w:name w:val="caption"/>
    <w:basedOn w:val="1"/>
    <w:next w:val="1"/>
    <w:qFormat/>
    <w:uiPriority w:val="99"/>
    <w:pPr>
      <w:suppressLineNumbers/>
      <w:spacing w:before="120" w:after="120"/>
    </w:pPr>
    <w:rPr>
      <w:i/>
      <w:iCs/>
      <w:sz w:val="24"/>
    </w:rPr>
  </w:style>
  <w:style w:type="paragraph" w:styleId="4">
    <w:name w:val="Body Text"/>
    <w:basedOn w:val="1"/>
    <w:link w:val="12"/>
    <w:qFormat/>
    <w:uiPriority w:val="99"/>
    <w:pPr>
      <w:spacing w:after="140" w:line="276" w:lineRule="auto"/>
    </w:pPr>
  </w:style>
  <w:style w:type="paragraph" w:styleId="5">
    <w:name w:val="footer"/>
    <w:basedOn w:val="1"/>
    <w:link w:val="13"/>
    <w:qFormat/>
    <w:uiPriority w:val="99"/>
    <w:pPr>
      <w:tabs>
        <w:tab w:val="center" w:pos="4153"/>
        <w:tab w:val="right" w:pos="8306"/>
      </w:tabs>
      <w:snapToGrid w:val="0"/>
      <w:jc w:val="left"/>
    </w:pPr>
    <w:rPr>
      <w:sz w:val="18"/>
    </w:rPr>
  </w:style>
  <w:style w:type="paragraph" w:styleId="6">
    <w:name w:val="header"/>
    <w:basedOn w:val="1"/>
    <w:link w:val="14"/>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List"/>
    <w:basedOn w:val="4"/>
    <w:qFormat/>
    <w:uiPriority w:val="99"/>
  </w:style>
  <w:style w:type="paragraph" w:styleId="8">
    <w:name w:val="table of figures"/>
    <w:basedOn w:val="1"/>
    <w:next w:val="1"/>
    <w:semiHidden/>
    <w:qFormat/>
    <w:uiPriority w:val="99"/>
    <w:pPr>
      <w:ind w:left="200" w:leftChars="200" w:hanging="200" w:hangingChars="200"/>
    </w:pPr>
  </w:style>
  <w:style w:type="paragraph" w:styleId="9">
    <w:name w:val="Normal (Web)"/>
    <w:basedOn w:val="1"/>
    <w:qFormat/>
    <w:uiPriority w:val="99"/>
    <w:rPr>
      <w:sz w:val="24"/>
    </w:rPr>
  </w:style>
  <w:style w:type="character" w:customStyle="1" w:styleId="12">
    <w:name w:val="Body Text Char"/>
    <w:basedOn w:val="11"/>
    <w:link w:val="4"/>
    <w:semiHidden/>
    <w:qFormat/>
    <w:uiPriority w:val="99"/>
    <w:rPr>
      <w:rFonts w:ascii="Calibri" w:hAnsi="Calibri"/>
      <w:szCs w:val="24"/>
    </w:rPr>
  </w:style>
  <w:style w:type="character" w:customStyle="1" w:styleId="13">
    <w:name w:val="Footer Char"/>
    <w:basedOn w:val="11"/>
    <w:link w:val="5"/>
    <w:semiHidden/>
    <w:qFormat/>
    <w:uiPriority w:val="99"/>
    <w:rPr>
      <w:rFonts w:ascii="Calibri" w:hAnsi="Calibri"/>
      <w:sz w:val="18"/>
      <w:szCs w:val="18"/>
    </w:rPr>
  </w:style>
  <w:style w:type="character" w:customStyle="1" w:styleId="14">
    <w:name w:val="Header Char"/>
    <w:basedOn w:val="11"/>
    <w:link w:val="6"/>
    <w:semiHidden/>
    <w:qFormat/>
    <w:uiPriority w:val="99"/>
    <w:rPr>
      <w:rFonts w:ascii="Calibri" w:hAnsi="Calibri"/>
      <w:sz w:val="18"/>
      <w:szCs w:val="18"/>
    </w:rPr>
  </w:style>
  <w:style w:type="character" w:customStyle="1" w:styleId="15">
    <w:name w:val="默认段落字体1"/>
    <w:qFormat/>
    <w:uiPriority w:val="99"/>
  </w:style>
  <w:style w:type="paragraph" w:customStyle="1" w:styleId="16">
    <w:name w:val="Heading"/>
    <w:basedOn w:val="1"/>
    <w:next w:val="4"/>
    <w:qFormat/>
    <w:uiPriority w:val="99"/>
    <w:pPr>
      <w:keepNext/>
      <w:spacing w:before="240" w:after="120"/>
    </w:pPr>
    <w:rPr>
      <w:rFonts w:ascii="Liberation Sans" w:hAnsi="Liberation Sans" w:eastAsia="Noto Sans CJK SC Regular" w:cs="Noto Sans CJK SC Regular"/>
      <w:sz w:val="28"/>
      <w:szCs w:val="28"/>
    </w:rPr>
  </w:style>
  <w:style w:type="paragraph" w:customStyle="1" w:styleId="17">
    <w:name w:val="Index"/>
    <w:basedOn w:val="1"/>
    <w:qFormat/>
    <w:uiPriority w:val="99"/>
    <w:pPr>
      <w:suppressLineNumbers/>
    </w:p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683</Words>
  <Characters>3896</Characters>
  <Lines>0</Lines>
  <Paragraphs>0</Paragraphs>
  <TotalTime>1</TotalTime>
  <ScaleCrop>false</ScaleCrop>
  <LinksUpToDate>false</LinksUpToDate>
  <CharactersWithSpaces>0</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 </cp:lastModifiedBy>
  <cp:lastPrinted>2024-02-24T00:48:00Z</cp:lastPrinted>
  <dcterms:modified xsi:type="dcterms:W3CDTF">2024-02-29T17:43:41Z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