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1467"/>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广元市老龄工作委员会办公室</w:t>
      </w:r>
      <w:bookmarkEnd w:id="0"/>
    </w:p>
    <w:p>
      <w:pPr>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6406"/>
        <w15:color w:val="DBDBDB"/>
        <w:docPartObj>
          <w:docPartGallery w:val="Table of Contents"/>
          <w:docPartUnique/>
        </w:docPartObj>
      </w:sdtPr>
      <w:sdtEndPr>
        <w:rPr>
          <w:rFonts w:hint="eastAsia" w:ascii="Calibri" w:hAnsi="Calibri" w:eastAsia="宋体" w:cs="Times New Roman"/>
          <w:b/>
          <w:color w:val="auto"/>
          <w:kern w:val="2"/>
          <w:sz w:val="21"/>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8"/>
            <w:tabs>
              <w:tab w:val="right" w:leader="dot" w:pos="8845"/>
            </w:tabs>
            <w:spacing w:line="360" w:lineRule="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_Toc18731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_Toc18731 \h </w:instrText>
          </w:r>
          <w:r>
            <w:rPr>
              <w:b/>
            </w:rPr>
            <w:fldChar w:fldCharType="separate"/>
          </w:r>
          <w:r>
            <w:rPr>
              <w:b/>
            </w:rPr>
            <w:t>3</w:t>
          </w:r>
          <w:r>
            <w:rPr>
              <w:b/>
            </w:rPr>
            <w:fldChar w:fldCharType="end"/>
          </w:r>
          <w:r>
            <w:rPr>
              <w:rFonts w:hint="eastAsia"/>
              <w:b/>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_Toc9220 </w:instrText>
          </w:r>
          <w:r>
            <w:rPr>
              <w:rFonts w:hint="eastAsia"/>
              <w:lang w:val="en-US" w:eastAsia="zh-CN"/>
            </w:rPr>
            <w:fldChar w:fldCharType="separate"/>
          </w:r>
          <w:r>
            <w:rPr>
              <w:rFonts w:hint="eastAsia" w:ascii="楷体_GB2312" w:hAnsi="楷体_GB2312" w:eastAsia="楷体_GB2312" w:cs="楷体_GB2312"/>
              <w:szCs w:val="32"/>
            </w:rPr>
            <w:t>（一）广元市老龄工作委员会办公室职能简介</w:t>
          </w:r>
          <w:r>
            <w:tab/>
          </w:r>
          <w:r>
            <w:fldChar w:fldCharType="begin"/>
          </w:r>
          <w:r>
            <w:instrText xml:space="preserve"> PAGEREF _Toc9220 \h </w:instrText>
          </w:r>
          <w:r>
            <w:fldChar w:fldCharType="separate"/>
          </w:r>
          <w:r>
            <w:t>3</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_Toc4075 </w:instrText>
          </w:r>
          <w:r>
            <w:rPr>
              <w:rFonts w:hint="eastAsia"/>
              <w:lang w:val="en-US" w:eastAsia="zh-CN"/>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广元市老龄工作委员会办公室</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_Toc4075 \h </w:instrText>
          </w:r>
          <w:r>
            <w:fldChar w:fldCharType="separate"/>
          </w:r>
          <w:r>
            <w:t>3</w:t>
          </w:r>
          <w:r>
            <w:fldChar w:fldCharType="end"/>
          </w:r>
          <w:r>
            <w:rPr>
              <w:rFonts w:hint="eastAsia"/>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_Toc21267 </w:instrText>
          </w:r>
          <w:r>
            <w:rPr>
              <w:rFonts w:hint="eastAsia"/>
              <w:b/>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_Toc21267 \h </w:instrText>
          </w:r>
          <w:r>
            <w:rPr>
              <w:b/>
            </w:rPr>
            <w:fldChar w:fldCharType="separate"/>
          </w:r>
          <w:r>
            <w:rPr>
              <w:b/>
            </w:rPr>
            <w:t>4</w:t>
          </w:r>
          <w:r>
            <w:rPr>
              <w:b/>
            </w:rPr>
            <w:fldChar w:fldCharType="end"/>
          </w:r>
          <w:r>
            <w:rPr>
              <w:rFonts w:hint="eastAsia"/>
              <w:b/>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_Toc16501 </w:instrText>
          </w:r>
          <w:r>
            <w:rPr>
              <w:rFonts w:hint="eastAsia"/>
              <w:b/>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_Toc16501 \h </w:instrText>
          </w:r>
          <w:r>
            <w:rPr>
              <w:b/>
            </w:rPr>
            <w:fldChar w:fldCharType="separate"/>
          </w:r>
          <w:r>
            <w:rPr>
              <w:b/>
            </w:rPr>
            <w:t>4</w:t>
          </w:r>
          <w:r>
            <w:rPr>
              <w:b/>
            </w:rPr>
            <w:fldChar w:fldCharType="end"/>
          </w:r>
          <w:r>
            <w:rPr>
              <w:rFonts w:hint="eastAsia"/>
              <w:b/>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_Toc12654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_Toc12654 \h </w:instrText>
          </w:r>
          <w:r>
            <w:fldChar w:fldCharType="separate"/>
          </w:r>
          <w:r>
            <w:t>5</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_Toc23067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_Toc23067 \h </w:instrText>
          </w:r>
          <w:r>
            <w:fldChar w:fldCharType="separate"/>
          </w:r>
          <w:r>
            <w:t>5</w:t>
          </w:r>
          <w:r>
            <w:fldChar w:fldCharType="end"/>
          </w:r>
          <w:r>
            <w:rPr>
              <w:rFonts w:hint="eastAsia"/>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_Toc14455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_Toc14455 \h </w:instrText>
          </w:r>
          <w:r>
            <w:rPr>
              <w:b/>
            </w:rPr>
            <w:fldChar w:fldCharType="separate"/>
          </w:r>
          <w:r>
            <w:rPr>
              <w:b/>
            </w:rPr>
            <w:t>5</w:t>
          </w:r>
          <w:r>
            <w:rPr>
              <w:b/>
            </w:rPr>
            <w:fldChar w:fldCharType="end"/>
          </w:r>
          <w:r>
            <w:rPr>
              <w:rFonts w:hint="eastAsia"/>
              <w:b/>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_Toc29350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_Toc29350 \h </w:instrText>
          </w:r>
          <w:r>
            <w:rPr>
              <w:b/>
            </w:rPr>
            <w:fldChar w:fldCharType="separate"/>
          </w:r>
          <w:r>
            <w:rPr>
              <w:b/>
            </w:rPr>
            <w:t>5</w:t>
          </w:r>
          <w:r>
            <w:rPr>
              <w:b/>
            </w:rPr>
            <w:fldChar w:fldCharType="end"/>
          </w:r>
          <w:r>
            <w:rPr>
              <w:rFonts w:hint="eastAsia"/>
              <w:b/>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_Toc26886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_Toc26886 \h </w:instrText>
          </w:r>
          <w:r>
            <w:fldChar w:fldCharType="separate"/>
          </w:r>
          <w:r>
            <w:t>5</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_Toc26897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_Toc26897 \h </w:instrText>
          </w:r>
          <w:r>
            <w:fldChar w:fldCharType="separate"/>
          </w:r>
          <w:r>
            <w:t>6</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_Toc2457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_Toc2457 \h </w:instrText>
          </w:r>
          <w:r>
            <w:fldChar w:fldCharType="separate"/>
          </w:r>
          <w:r>
            <w:t>6</w:t>
          </w:r>
          <w:r>
            <w:fldChar w:fldCharType="end"/>
          </w:r>
          <w:r>
            <w:rPr>
              <w:rFonts w:hint="eastAsia"/>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_Toc10103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_Toc10103 \h </w:instrText>
          </w:r>
          <w:r>
            <w:rPr>
              <w:b/>
            </w:rPr>
            <w:fldChar w:fldCharType="separate"/>
          </w:r>
          <w:r>
            <w:rPr>
              <w:b/>
            </w:rPr>
            <w:t>7</w:t>
          </w:r>
          <w:r>
            <w:rPr>
              <w:b/>
            </w:rPr>
            <w:fldChar w:fldCharType="end"/>
          </w:r>
          <w:r>
            <w:rPr>
              <w:rFonts w:hint="eastAsia"/>
              <w:b/>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_Toc27443 </w:instrText>
          </w:r>
          <w:r>
            <w:rPr>
              <w:rFonts w:hint="eastAsia"/>
              <w:b/>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_Toc27443 \h </w:instrText>
          </w:r>
          <w:r>
            <w:rPr>
              <w:b/>
            </w:rPr>
            <w:fldChar w:fldCharType="separate"/>
          </w:r>
          <w:r>
            <w:rPr>
              <w:b/>
            </w:rPr>
            <w:t>7</w:t>
          </w:r>
          <w:r>
            <w:rPr>
              <w:b/>
            </w:rPr>
            <w:fldChar w:fldCharType="end"/>
          </w:r>
          <w:r>
            <w:rPr>
              <w:rFonts w:hint="eastAsia"/>
              <w:b/>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_Toc13546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_Toc13546 \h </w:instrText>
          </w:r>
          <w:r>
            <w:fldChar w:fldCharType="separate"/>
          </w:r>
          <w:r>
            <w:t>7</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_Toc4654 </w:instrText>
          </w:r>
          <w:r>
            <w:rPr>
              <w:rFonts w:hint="eastAsia"/>
              <w:lang w:val="en-US" w:eastAsia="zh-CN"/>
            </w:rPr>
            <w:fldChar w:fldCharType="separate"/>
          </w:r>
          <w:r>
            <w:rPr>
              <w:rFonts w:hint="eastAsia" w:ascii="楷体_GB2312" w:hAnsi="Times New Roman" w:eastAsia="楷体_GB2312" w:cs="Times New Roman"/>
              <w:bCs/>
              <w:szCs w:val="32"/>
            </w:rPr>
            <w:t>（二）公务用车购置及运行维护费</w:t>
          </w:r>
          <w:r>
            <w:tab/>
          </w:r>
          <w:r>
            <w:fldChar w:fldCharType="begin"/>
          </w:r>
          <w:r>
            <w:instrText xml:space="preserve"> PAGEREF _Toc4654 \h </w:instrText>
          </w:r>
          <w:r>
            <w:fldChar w:fldCharType="separate"/>
          </w:r>
          <w:r>
            <w:t>7</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_Toc8084 </w:instrText>
          </w:r>
          <w:r>
            <w:rPr>
              <w:rFonts w:hint="eastAsia"/>
              <w:lang w:val="en-US" w:eastAsia="zh-CN"/>
            </w:rPr>
            <w:fldChar w:fldCharType="separate"/>
          </w:r>
          <w:r>
            <w:rPr>
              <w:rFonts w:hint="eastAsia" w:ascii="楷体_GB2312" w:hAnsi="Times New Roman" w:eastAsia="楷体_GB2312" w:cs="Times New Roman"/>
              <w:bCs/>
              <w:szCs w:val="32"/>
            </w:rPr>
            <w:t>（三）因公出国（境）经费</w:t>
          </w:r>
          <w:r>
            <w:tab/>
          </w:r>
          <w:r>
            <w:fldChar w:fldCharType="begin"/>
          </w:r>
          <w:r>
            <w:instrText xml:space="preserve"> PAGEREF _Toc8084 \h </w:instrText>
          </w:r>
          <w:r>
            <w:fldChar w:fldCharType="separate"/>
          </w:r>
          <w:r>
            <w:t>8</w:t>
          </w:r>
          <w:r>
            <w:fldChar w:fldCharType="end"/>
          </w:r>
          <w:r>
            <w:rPr>
              <w:rFonts w:hint="eastAsia"/>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_Toc19073 </w:instrText>
          </w:r>
          <w:r>
            <w:rPr>
              <w:rFonts w:hint="eastAsia"/>
              <w:b/>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_Toc19073 \h </w:instrText>
          </w:r>
          <w:r>
            <w:rPr>
              <w:b/>
            </w:rPr>
            <w:fldChar w:fldCharType="separate"/>
          </w:r>
          <w:r>
            <w:rPr>
              <w:b/>
            </w:rPr>
            <w:t>8</w:t>
          </w:r>
          <w:r>
            <w:rPr>
              <w:b/>
            </w:rPr>
            <w:fldChar w:fldCharType="end"/>
          </w:r>
          <w:r>
            <w:rPr>
              <w:rFonts w:hint="eastAsia"/>
              <w:b/>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_Toc18513 </w:instrText>
          </w:r>
          <w:r>
            <w:rPr>
              <w:rFonts w:hint="eastAsia"/>
              <w:b/>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_Toc18513 \h </w:instrText>
          </w:r>
          <w:r>
            <w:rPr>
              <w:b/>
            </w:rPr>
            <w:fldChar w:fldCharType="separate"/>
          </w:r>
          <w:r>
            <w:rPr>
              <w:b/>
            </w:rPr>
            <w:t>8</w:t>
          </w:r>
          <w:r>
            <w:rPr>
              <w:b/>
            </w:rPr>
            <w:fldChar w:fldCharType="end"/>
          </w:r>
          <w:r>
            <w:rPr>
              <w:rFonts w:hint="eastAsia"/>
              <w:b/>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_Toc11079 </w:instrText>
          </w:r>
          <w:r>
            <w:rPr>
              <w:rFonts w:hint="eastAsia"/>
              <w:b/>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_Toc11079 \h </w:instrText>
          </w:r>
          <w:r>
            <w:rPr>
              <w:b/>
            </w:rPr>
            <w:fldChar w:fldCharType="separate"/>
          </w:r>
          <w:r>
            <w:rPr>
              <w:b/>
            </w:rPr>
            <w:t>8</w:t>
          </w:r>
          <w:r>
            <w:rPr>
              <w:b/>
            </w:rPr>
            <w:fldChar w:fldCharType="end"/>
          </w:r>
          <w:r>
            <w:rPr>
              <w:rFonts w:hint="eastAsia"/>
              <w:b/>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_Toc9376 </w:instrText>
          </w:r>
          <w:r>
            <w:rPr>
              <w:rFonts w:hint="eastAsia"/>
              <w:lang w:val="en-US" w:eastAsia="zh-CN"/>
            </w:rPr>
            <w:fldChar w:fldCharType="separate"/>
          </w:r>
          <w:r>
            <w:rPr>
              <w:rFonts w:hint="eastAsia" w:ascii="楷体_GB2312" w:hAnsi="楷体_GB2312" w:eastAsia="楷体_GB2312" w:cs="楷体_GB2312"/>
              <w:bCs/>
              <w:szCs w:val="32"/>
              <w:lang w:val="en-US" w:eastAsia="zh-CN"/>
            </w:rPr>
            <w:t>（一）机关运行经费</w:t>
          </w:r>
          <w:r>
            <w:tab/>
          </w:r>
          <w:r>
            <w:fldChar w:fldCharType="begin"/>
          </w:r>
          <w:r>
            <w:instrText xml:space="preserve"> PAGEREF _Toc9376 \h </w:instrText>
          </w:r>
          <w:r>
            <w:fldChar w:fldCharType="separate"/>
          </w:r>
          <w:r>
            <w:t>8</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_Toc27543 </w:instrText>
          </w:r>
          <w:r>
            <w:rPr>
              <w:rFonts w:hint="eastAsia"/>
              <w:lang w:val="en-US" w:eastAsia="zh-CN"/>
            </w:rPr>
            <w:fldChar w:fldCharType="separate"/>
          </w:r>
          <w:r>
            <w:rPr>
              <w:rFonts w:hint="eastAsia" w:ascii="楷体_GB2312" w:hAnsi="楷体_GB2312" w:eastAsia="楷体_GB2312" w:cs="楷体_GB2312"/>
              <w:bCs/>
              <w:szCs w:val="32"/>
              <w:lang w:val="en-US" w:eastAsia="zh-CN"/>
            </w:rPr>
            <w:t>（二）政府采购情况</w:t>
          </w:r>
          <w:r>
            <w:tab/>
          </w:r>
          <w:r>
            <w:fldChar w:fldCharType="begin"/>
          </w:r>
          <w:r>
            <w:instrText xml:space="preserve"> PAGEREF _Toc27543 \h </w:instrText>
          </w:r>
          <w:r>
            <w:fldChar w:fldCharType="separate"/>
          </w:r>
          <w:r>
            <w:t>8</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_Toc28834 </w:instrText>
          </w:r>
          <w:r>
            <w:rPr>
              <w:rFonts w:hint="eastAsia"/>
              <w:lang w:val="en-US" w:eastAsia="zh-CN"/>
            </w:rPr>
            <w:fldChar w:fldCharType="separate"/>
          </w:r>
          <w:r>
            <w:rPr>
              <w:rFonts w:hint="eastAsia" w:ascii="楷体_GB2312" w:hAnsi="楷体_GB2312" w:eastAsia="楷体_GB2312" w:cs="楷体_GB2312"/>
              <w:bCs/>
              <w:szCs w:val="32"/>
              <w:lang w:val="en-US" w:eastAsia="zh-CN"/>
            </w:rPr>
            <w:t>（三）国有资产占有使用情况</w:t>
          </w:r>
          <w:r>
            <w:tab/>
          </w:r>
          <w:r>
            <w:fldChar w:fldCharType="begin"/>
          </w:r>
          <w:r>
            <w:instrText xml:space="preserve"> PAGEREF _Toc28834 \h </w:instrText>
          </w:r>
          <w:r>
            <w:fldChar w:fldCharType="separate"/>
          </w:r>
          <w:r>
            <w:t>8</w:t>
          </w:r>
          <w:r>
            <w:fldChar w:fldCharType="end"/>
          </w:r>
          <w:r>
            <w:rPr>
              <w:rFonts w:hint="eastAsia"/>
              <w:lang w:val="en-US" w:eastAsia="zh-CN"/>
            </w:rPr>
            <w:fldChar w:fldCharType="end"/>
          </w:r>
        </w:p>
        <w:p>
          <w:pPr>
            <w:pStyle w:val="19"/>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_Toc15071 </w:instrText>
          </w:r>
          <w:r>
            <w:rPr>
              <w:rFonts w:hint="eastAsia"/>
              <w:lang w:val="en-US" w:eastAsia="zh-CN"/>
            </w:rPr>
            <w:fldChar w:fldCharType="separate"/>
          </w:r>
          <w:r>
            <w:rPr>
              <w:rFonts w:hint="eastAsia" w:ascii="楷体_GB2312" w:hAnsi="楷体_GB2312" w:eastAsia="楷体_GB2312" w:cs="楷体_GB2312"/>
              <w:bCs/>
              <w:szCs w:val="32"/>
              <w:lang w:val="en-US" w:eastAsia="zh-CN"/>
            </w:rPr>
            <w:t>（四）绩效目标设置情况</w:t>
          </w:r>
          <w:r>
            <w:tab/>
          </w:r>
          <w:r>
            <w:fldChar w:fldCharType="begin"/>
          </w:r>
          <w:r>
            <w:instrText xml:space="preserve"> PAGEREF _Toc15071 \h </w:instrText>
          </w:r>
          <w:r>
            <w:fldChar w:fldCharType="separate"/>
          </w:r>
          <w:r>
            <w:t>9</w:t>
          </w:r>
          <w:r>
            <w:fldChar w:fldCharType="end"/>
          </w:r>
          <w:r>
            <w:rPr>
              <w:rFonts w:hint="eastAsia"/>
              <w:lang w:val="en-US" w:eastAsia="zh-CN"/>
            </w:rPr>
            <w:fldChar w:fldCharType="end"/>
          </w:r>
        </w:p>
        <w:p>
          <w:pPr>
            <w:pStyle w:val="18"/>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_Toc23161 </w:instrText>
          </w:r>
          <w:r>
            <w:rPr>
              <w:rFonts w:hint="eastAsia"/>
              <w:b/>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_Toc23161 \h </w:instrText>
          </w:r>
          <w:r>
            <w:rPr>
              <w:b/>
            </w:rPr>
            <w:fldChar w:fldCharType="separate"/>
          </w:r>
          <w:r>
            <w:rPr>
              <w:b/>
            </w:rPr>
            <w:t>9</w:t>
          </w:r>
          <w:r>
            <w:rPr>
              <w:b/>
            </w:rPr>
            <w:fldChar w:fldCharType="end"/>
          </w:r>
          <w:r>
            <w:rPr>
              <w:rFonts w:hint="eastAsia"/>
              <w:b/>
              <w:lang w:val="en-US" w:eastAsia="zh-CN"/>
            </w:rPr>
            <w:fldChar w:fldCharType="end"/>
          </w:r>
        </w:p>
        <w:p>
          <w:pPr>
            <w:pStyle w:val="2"/>
            <w:spacing w:line="360" w:lineRule="auto"/>
            <w:ind w:left="0" w:leftChars="0" w:firstLine="0" w:firstLineChars="0"/>
            <w:rPr>
              <w:rFonts w:hint="eastAsia"/>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b/>
              <w:lang w:val="en-US" w:eastAsia="zh-CN"/>
            </w:rPr>
            <w:fldChar w:fldCharType="end"/>
          </w:r>
        </w:p>
      </w:sdtContent>
    </w:sdt>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8731"/>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9220"/>
      <w:r>
        <w:rPr>
          <w:rFonts w:hint="eastAsia" w:ascii="楷体_GB2312" w:hAnsi="楷体_GB2312" w:eastAsia="楷体_GB2312" w:cs="楷体_GB2312"/>
          <w:sz w:val="32"/>
          <w:szCs w:val="32"/>
        </w:rPr>
        <w:t>（一）广元市老龄工作委员会办公室职能简介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宣传贯彻国家老龄工作的方针、政策和法规，开展老龄工作重大问题的调查研究，提出全市老龄工作发展规划，拟定实施办法；督促、检查市老龄工作委员会决定事项在有关部门和县、区、开发区的落实情况；负责各成员单位的联系、协调工作；收集、整理老龄工作的有关情况和信息，总结推广先进经验；指导全市敬老爱老工作，开展敬老活动，组织敬老评比表彰活动；管理、指导市老年活动中心、市老年大学的工作；承办市政府和市老龄工作委员会交办</w:t>
      </w:r>
      <w:r>
        <w:rPr>
          <w:rFonts w:hint="eastAsia" w:ascii="仿宋_GB2312" w:hAnsi="仿宋_GB2312" w:eastAsia="仿宋_GB2312" w:cs="仿宋_GB2312"/>
          <w:sz w:val="32"/>
          <w:szCs w:val="32"/>
          <w:lang w:eastAsia="zh-CN"/>
        </w:rPr>
        <w:t>的其他事项</w:t>
      </w:r>
      <w:r>
        <w:rPr>
          <w:rFonts w:hint="eastAsia" w:ascii="仿宋_GB2312" w:hAnsi="仿宋_GB2312" w:eastAsia="仿宋_GB2312" w:cs="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4075"/>
      <w:r>
        <w:rPr>
          <w:rFonts w:hint="eastAsia" w:ascii="楷体_GB2312" w:hAnsi="楷体_GB2312" w:eastAsia="楷体_GB2312" w:cs="楷体_GB2312"/>
          <w:sz w:val="32"/>
          <w:szCs w:val="32"/>
          <w:lang w:val="en-US" w:eastAsia="zh-CN"/>
        </w:rPr>
        <w:t>广元市老龄工作委员会办公室</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N/>
        <w:bidi w:val="0"/>
        <w:adjustRightInd w:val="0"/>
        <w:snapToGrid w:val="0"/>
        <w:spacing w:line="576" w:lineRule="exact"/>
        <w:ind w:firstLine="640" w:firstLineChars="200"/>
        <w:jc w:val="both"/>
        <w:textAlignment w:val="auto"/>
        <w:rPr>
          <w:rStyle w:val="16"/>
          <w:rFonts w:hint="eastAsia" w:ascii="仿宋_GB2312" w:eastAsia="仿宋_GB2312"/>
          <w:sz w:val="32"/>
          <w:szCs w:val="32"/>
          <w:lang w:val="en-US" w:eastAsia="zh-CN"/>
        </w:rPr>
      </w:pPr>
      <w:r>
        <w:rPr>
          <w:rStyle w:val="16"/>
          <w:rFonts w:hint="eastAsia" w:ascii="楷体_GB2312" w:hAnsi="楷体_GB2312" w:eastAsia="楷体_GB2312" w:cs="楷体_GB2312"/>
          <w:b w:val="0"/>
          <w:bCs w:val="0"/>
          <w:sz w:val="32"/>
          <w:szCs w:val="32"/>
          <w:lang w:val="en-US" w:eastAsia="zh-CN"/>
        </w:rPr>
        <w:t>（一）持续推动老年友好社会环境建设。</w:t>
      </w:r>
      <w:r>
        <w:rPr>
          <w:rStyle w:val="16"/>
          <w:rFonts w:hint="eastAsia" w:ascii="仿宋_GB2312" w:eastAsia="仿宋_GB2312"/>
          <w:sz w:val="32"/>
          <w:szCs w:val="32"/>
          <w:lang w:val="en-US" w:eastAsia="zh-CN"/>
        </w:rPr>
        <w:t>一是利用敬老月、老年健康宣传周活动，主要开展“智慧助老”、防养老诈骗、义诊等工作。三是持续推进第四届全国“敬老文明号”、四川省第六轮“敬老模范县（市、区）”以及“全国示范性老年友好型社区”创建活动。</w:t>
      </w:r>
    </w:p>
    <w:p>
      <w:pPr>
        <w:keepNext w:val="0"/>
        <w:keepLines w:val="0"/>
        <w:pageBreakBefore w:val="0"/>
        <w:widowControl w:val="0"/>
        <w:kinsoku/>
        <w:wordWrap/>
        <w:overflowPunct/>
        <w:topLinePunct w:val="0"/>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二）进一步</w:t>
      </w:r>
      <w:r>
        <w:rPr>
          <w:rFonts w:hint="eastAsia" w:ascii="楷体_GB2312" w:hAnsi="楷体_GB2312" w:eastAsia="楷体_GB2312" w:cs="楷体_GB2312"/>
          <w:b w:val="0"/>
          <w:bCs w:val="0"/>
          <w:sz w:val="32"/>
          <w:szCs w:val="32"/>
        </w:rPr>
        <w:t>提高老年人健康服务和管理水平。</w:t>
      </w:r>
      <w:r>
        <w:rPr>
          <w:rFonts w:hint="eastAsia" w:ascii="仿宋_GB2312" w:hAnsi="仿宋_GB2312" w:eastAsia="仿宋_GB2312" w:cs="仿宋_GB2312"/>
          <w:sz w:val="32"/>
          <w:szCs w:val="32"/>
          <w:lang w:val="en-US" w:eastAsia="zh-CN"/>
        </w:rPr>
        <w:t>实施银龄健康工程，开展老年健康促进专项行动，加强老年预防保健，</w:t>
      </w:r>
      <w:r>
        <w:rPr>
          <w:rFonts w:hint="eastAsia" w:ascii="仿宋_GB2312" w:hAnsi="仿宋_GB2312" w:eastAsia="仿宋_GB2312" w:cs="仿宋_GB2312"/>
          <w:sz w:val="32"/>
          <w:szCs w:val="32"/>
        </w:rPr>
        <w:t>强</w:t>
      </w:r>
      <w:r>
        <w:rPr>
          <w:rFonts w:hint="eastAsia" w:ascii="仿宋_GB2312" w:hAnsi="仿宋_GB2312" w:eastAsia="仿宋_GB2312" w:cs="仿宋_GB2312"/>
          <w:sz w:val="32"/>
          <w:szCs w:val="32"/>
          <w:lang w:val="en-US" w:eastAsia="zh-CN"/>
        </w:rPr>
        <w:t>化</w:t>
      </w:r>
      <w:r>
        <w:rPr>
          <w:rFonts w:hint="eastAsia" w:ascii="仿宋_GB2312" w:hAnsi="仿宋_GB2312" w:eastAsia="仿宋_GB2312" w:cs="仿宋_GB2312"/>
          <w:sz w:val="32"/>
          <w:szCs w:val="32"/>
        </w:rPr>
        <w:t>老年健康知识宣传和教育，提升老年人健康素养。加强老年人群重点慢性病的早期筛查、干预及分类指导，开展老年口腔健康、老年营养改善、老年痴呆防治和心理关爱行动。</w:t>
      </w:r>
      <w:r>
        <w:rPr>
          <w:rFonts w:hint="eastAsia" w:ascii="仿宋_GB2312" w:hAnsi="仿宋_GB2312" w:eastAsia="仿宋_GB2312" w:cs="仿宋_GB2312"/>
          <w:sz w:val="32"/>
          <w:szCs w:val="32"/>
          <w:lang w:val="en-US" w:eastAsia="zh-CN"/>
        </w:rPr>
        <w:t>鼓励有条件的地区为60岁以上户籍老年人免费接种流感疫苗。</w:t>
      </w:r>
      <w:r>
        <w:rPr>
          <w:rFonts w:hint="eastAsia" w:ascii="仿宋_GB2312" w:hAnsi="仿宋_GB2312" w:eastAsia="仿宋_GB2312" w:cs="仿宋_GB2312"/>
          <w:sz w:val="32"/>
          <w:szCs w:val="32"/>
        </w:rPr>
        <w:t>加强综合性医院老年医学科建设，加强老年医院、康复医院、护理院（中心、站）以及优抚医院建设，建立医疗、康复、护理双向转诊机制。加快建设老年友善医疗机构，方便老年人看病就医。</w:t>
      </w:r>
    </w:p>
    <w:p>
      <w:pPr>
        <w:pStyle w:val="2"/>
        <w:keepNext w:val="0"/>
        <w:keepLines w:val="0"/>
        <w:pageBreakBefore w:val="0"/>
        <w:widowControl w:val="0"/>
        <w:kinsoku/>
        <w:wordWrap/>
        <w:overflowPunct/>
        <w:topLinePunct w:val="0"/>
        <w:autoSpaceDN/>
        <w:bidi w:val="0"/>
        <w:adjustRightInd w:val="0"/>
        <w:snapToGrid w:val="0"/>
        <w:spacing w:after="0" w:afterLines="0" w:line="576" w:lineRule="exact"/>
        <w:ind w:left="0" w:leftChars="0" w:firstLine="640" w:firstLineChars="200"/>
        <w:jc w:val="both"/>
        <w:textAlignment w:val="auto"/>
        <w:rPr>
          <w:rStyle w:val="16"/>
          <w:rFonts w:hint="eastAsia" w:ascii="仿宋_GB2312" w:eastAsia="仿宋_GB2312"/>
          <w:sz w:val="32"/>
          <w:szCs w:val="32"/>
          <w:lang w:val="en-US" w:eastAsia="zh-CN"/>
        </w:rPr>
      </w:pPr>
      <w:r>
        <w:rPr>
          <w:rStyle w:val="16"/>
          <w:rFonts w:hint="eastAsia" w:ascii="楷体_GB2312" w:hAnsi="楷体_GB2312" w:eastAsia="楷体_GB2312" w:cs="楷体_GB2312"/>
          <w:b w:val="0"/>
          <w:bCs w:val="0"/>
          <w:sz w:val="32"/>
          <w:szCs w:val="32"/>
          <w:lang w:val="en-US" w:eastAsia="zh-CN"/>
        </w:rPr>
        <w:t>（三）深入推进医养深度结合。</w:t>
      </w:r>
      <w:r>
        <w:rPr>
          <w:rStyle w:val="16"/>
          <w:rFonts w:hint="eastAsia" w:ascii="仿宋_GB2312" w:eastAsia="仿宋_GB2312"/>
          <w:sz w:val="32"/>
          <w:szCs w:val="32"/>
          <w:lang w:val="en-US" w:eastAsia="zh-CN"/>
        </w:rPr>
        <w:t>深入推动医养结合服务能力体系建设，</w:t>
      </w:r>
      <w:r>
        <w:rPr>
          <w:rFonts w:hint="eastAsia" w:ascii="仿宋_GB2312" w:hAnsi="仿宋_GB2312" w:eastAsia="仿宋_GB2312" w:cs="仿宋_GB2312"/>
          <w:sz w:val="32"/>
          <w:szCs w:val="32"/>
          <w:lang w:val="en-US" w:eastAsia="zh-CN"/>
        </w:rPr>
        <w:t>合理布局医养服务网络。</w:t>
      </w:r>
      <w:r>
        <w:rPr>
          <w:rStyle w:val="16"/>
          <w:rFonts w:hint="eastAsia" w:ascii="仿宋_GB2312" w:eastAsia="仿宋_GB2312"/>
          <w:sz w:val="32"/>
          <w:szCs w:val="32"/>
          <w:lang w:val="en-US" w:eastAsia="zh-CN"/>
        </w:rPr>
        <w:t>创新推动人口大县建设市级老年示范医院，</w:t>
      </w:r>
      <w:r>
        <w:rPr>
          <w:rFonts w:hint="eastAsia" w:ascii="仿宋_GB2312" w:hAnsi="仿宋_GB2312" w:eastAsia="仿宋_GB2312" w:cs="仿宋_GB2312"/>
          <w:sz w:val="32"/>
          <w:szCs w:val="32"/>
          <w:lang w:val="en-US" w:eastAsia="zh-CN"/>
        </w:rPr>
        <w:t>建立以老年医院为引领，基层医疗卫生机构、康复医院、护理院为支撑，家庭医生团队为网底的医养服务网络。支持医疗机构牵头组建医联体或医疗养老联合体。支持有条件的医疗机构建设医院服务中心，重点为失能老年人提供医、康、护、养服务，</w:t>
      </w:r>
      <w:r>
        <w:rPr>
          <w:rStyle w:val="16"/>
          <w:rFonts w:hint="eastAsia" w:ascii="仿宋_GB2312" w:eastAsia="仿宋_GB2312"/>
          <w:sz w:val="32"/>
          <w:szCs w:val="32"/>
          <w:lang w:val="en-US" w:eastAsia="zh-CN"/>
        </w:rPr>
        <w:t>积极组织市中医医院创建国家级医养结合服务示范单位。</w:t>
      </w:r>
      <w:r>
        <w:rPr>
          <w:rFonts w:hint="eastAsia" w:ascii="仿宋_GB2312" w:hAnsi="仿宋_GB2312" w:eastAsia="仿宋_GB2312" w:cs="仿宋_GB2312"/>
          <w:sz w:val="32"/>
          <w:szCs w:val="32"/>
          <w:lang w:val="en-US" w:eastAsia="zh-CN"/>
        </w:rPr>
        <w:t>发展智慧健康养老服务，鼓励有条件的地方以县为单位建立失能、失智老年人智慧管理平台。</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hint="eastAsia"/>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四）提升长期照护和安宁疗护服务能力</w:t>
      </w:r>
      <w:r>
        <w:rPr>
          <w:rFonts w:hint="eastAsia" w:ascii="仿宋_GB2312" w:hAnsi="仿宋_GB2312" w:eastAsia="仿宋_GB2312" w:cs="仿宋_GB2312"/>
          <w:sz w:val="32"/>
          <w:szCs w:val="32"/>
          <w:lang w:val="en-US" w:eastAsia="zh-CN"/>
        </w:rPr>
        <w:t>。完善从专业机构到社区、家庭的长期照护服务模式。</w:t>
      </w:r>
      <w:r>
        <w:rPr>
          <w:rFonts w:hint="eastAsia" w:ascii="仿宋_GB2312" w:hAnsi="仿宋_GB2312" w:eastAsia="仿宋_GB2312" w:cs="仿宋_GB2312"/>
          <w:sz w:val="32"/>
          <w:szCs w:val="32"/>
        </w:rPr>
        <w:t>依托护理院（中心、站）、社区卫生服务中心、乡镇卫生院等医疗卫生机构以及具备服务能力的养老服务机构，为失能老年人提供长期照护服务。</w:t>
      </w:r>
      <w:r>
        <w:rPr>
          <w:rFonts w:hint="eastAsia" w:ascii="仿宋_GB2312" w:hAnsi="仿宋_GB2312" w:eastAsia="仿宋_GB2312" w:cs="仿宋_GB2312"/>
          <w:sz w:val="32"/>
          <w:szCs w:val="32"/>
          <w:lang w:val="en-US" w:eastAsia="zh-CN"/>
        </w:rPr>
        <w:t>开展失能老人“健康敲门行动”，</w:t>
      </w:r>
      <w:r>
        <w:rPr>
          <w:rFonts w:hint="eastAsia" w:ascii="仿宋_GB2312" w:hAnsi="仿宋_GB2312" w:eastAsia="仿宋_GB2312" w:cs="仿宋_GB2312"/>
          <w:sz w:val="32"/>
          <w:szCs w:val="32"/>
        </w:rPr>
        <w:t>稳步扩大安宁疗护试点。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1267"/>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我单位为广元市卫生健康委员会的下属二级预算单位，本单位无下属机构，设有内设机构2个。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6501"/>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老龄工作委员会办公室所有收入和支出均纳入部门预算管理。收入包括：一般公共预算拨款收入；支出包括：社会保障和就业支出、卫生健康支出、住房保障支出。广元市老龄工作委员会办公室2024年收支预算总数127.10万元，比2023年收支预算总数增加4.53万元，主要原因是工资福利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2654"/>
      <w:r>
        <w:rPr>
          <w:rFonts w:hint="eastAsia" w:ascii="楷体_GB2312" w:hAnsi="楷体_GB2312" w:eastAsia="楷体_GB2312" w:cs="楷体_GB2312"/>
          <w:sz w:val="32"/>
          <w:szCs w:val="32"/>
          <w:lang w:val="en-US" w:eastAsia="zh-CN"/>
        </w:rPr>
        <w:t>（一）收入预算情况</w:t>
      </w:r>
      <w:bookmarkEnd w:id="6"/>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市老龄工作委员会办公室202</w:t>
      </w: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年收入预算</w:t>
      </w:r>
      <w:r>
        <w:rPr>
          <w:rFonts w:hint="eastAsia" w:ascii="仿宋_GB2312" w:hAnsi="仿宋_GB2312" w:eastAsia="仿宋_GB2312" w:cs="仿宋_GB2312"/>
          <w:sz w:val="32"/>
          <w:szCs w:val="32"/>
          <w:lang w:val="en-US" w:eastAsia="zh-CN"/>
        </w:rPr>
        <w:t>127.10</w:t>
      </w:r>
      <w:r>
        <w:rPr>
          <w:rFonts w:hint="eastAsia" w:ascii="仿宋_GB2312" w:eastAsia="仿宋_GB2312"/>
          <w:color w:val="000000" w:themeColor="text1"/>
          <w:sz w:val="32"/>
          <w:szCs w:val="32"/>
          <w14:textFill>
            <w14:solidFill>
              <w14:schemeClr w14:val="tx1"/>
            </w14:solidFill>
          </w14:textFill>
        </w:rPr>
        <w:t>万元，其中：一般公共预算拨款收入</w:t>
      </w:r>
      <w:r>
        <w:rPr>
          <w:rFonts w:hint="eastAsia" w:ascii="仿宋_GB2312" w:hAnsi="仿宋_GB2312" w:eastAsia="仿宋_GB2312" w:cs="仿宋_GB2312"/>
          <w:sz w:val="32"/>
          <w:szCs w:val="32"/>
          <w:lang w:val="en-US" w:eastAsia="zh-CN"/>
        </w:rPr>
        <w:t>127.10</w:t>
      </w:r>
      <w:r>
        <w:rPr>
          <w:rFonts w:hint="eastAsia" w:ascii="仿宋_GB2312" w:eastAsia="仿宋_GB2312"/>
          <w:color w:val="000000" w:themeColor="text1"/>
          <w:sz w:val="32"/>
          <w:szCs w:val="32"/>
          <w14:textFill>
            <w14:solidFill>
              <w14:schemeClr w14:val="tx1"/>
            </w14:solidFill>
          </w14:textFill>
        </w:rPr>
        <w:t>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3067"/>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广元市老龄工作委员会办公室2024年支出预算127.10万元，其中：基本支出117.57万元，占92.50%；项目支出9.53万元，占7.50%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4455"/>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广元市老龄工作委员会办公室2024年财政拨款收支预算总数127.10万元，比2023年财政拨款收支预算总数增加4.53万元，主要原因是工资福利支出增加。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收入包括：本年一般公共预算拨款收入127.10万元；支出包括：社会保障和就业支出10.61万元、卫生健康支出107.47万元、住房保障支出9.03万元。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9350"/>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6886"/>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广元市老龄工作委员会办公室2024年一般公共预算当年拨款127.10万元，比2023年预算数增加4.53万元，主要原因是工资福利支出增加。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6897"/>
      <w:r>
        <w:rPr>
          <w:rFonts w:hint="eastAsia" w:ascii="楷体_GB2312" w:hAnsi="楷体_GB2312" w:eastAsia="楷体_GB2312" w:cs="楷体_GB2312"/>
          <w:sz w:val="32"/>
          <w:szCs w:val="32"/>
          <w:lang w:val="en-US" w:eastAsia="zh-CN"/>
        </w:rPr>
        <w:t>（二）一般公共预算当年拨款结构情况</w:t>
      </w:r>
      <w:bookmarkEnd w:id="11"/>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市老龄工作委员会办公室202</w:t>
      </w: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年一般公共预算当年拨款12</w:t>
      </w:r>
      <w:r>
        <w:rPr>
          <w:rFonts w:hint="eastAsia" w:ascii="仿宋_GB2312" w:eastAsia="仿宋_GB2312"/>
          <w:color w:val="000000" w:themeColor="text1"/>
          <w:sz w:val="32"/>
          <w:szCs w:val="32"/>
          <w:lang w:val="en-US" w:eastAsia="zh-CN"/>
          <w14:textFill>
            <w14:solidFill>
              <w14:schemeClr w14:val="tx1"/>
            </w14:solidFill>
          </w14:textFill>
        </w:rPr>
        <w:t>7.10</w:t>
      </w:r>
      <w:r>
        <w:rPr>
          <w:rFonts w:hint="eastAsia" w:ascii="仿宋_GB2312" w:eastAsia="仿宋_GB2312"/>
          <w:color w:val="000000" w:themeColor="text1"/>
          <w:sz w:val="32"/>
          <w:szCs w:val="32"/>
          <w14:textFill>
            <w14:solidFill>
              <w14:schemeClr w14:val="tx1"/>
            </w14:solidFill>
          </w14:textFill>
        </w:rPr>
        <w:t>万元，其中：社会保障和就业支出</w:t>
      </w:r>
      <w:r>
        <w:rPr>
          <w:rFonts w:hint="eastAsia" w:ascii="仿宋_GB2312" w:eastAsia="仿宋_GB2312"/>
          <w:color w:val="000000" w:themeColor="text1"/>
          <w:sz w:val="32"/>
          <w:szCs w:val="32"/>
          <w:lang w:val="en-US" w:eastAsia="zh-CN"/>
          <w14:textFill>
            <w14:solidFill>
              <w14:schemeClr w14:val="tx1"/>
            </w14:solidFill>
          </w14:textFill>
        </w:rPr>
        <w:t>10.61</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color w:val="000000" w:themeColor="text1"/>
          <w:sz w:val="32"/>
          <w:szCs w:val="32"/>
          <w:lang w:val="en-US" w:eastAsia="zh-CN"/>
          <w14:textFill>
            <w14:solidFill>
              <w14:schemeClr w14:val="tx1"/>
            </w14:solidFill>
          </w14:textFill>
        </w:rPr>
        <w:t>8.35</w:t>
      </w:r>
      <w:r>
        <w:rPr>
          <w:rFonts w:hint="eastAsia" w:ascii="仿宋_GB2312" w:eastAsia="仿宋_GB2312"/>
          <w:color w:val="000000" w:themeColor="text1"/>
          <w:sz w:val="32"/>
          <w:szCs w:val="32"/>
          <w14:textFill>
            <w14:solidFill>
              <w14:schemeClr w14:val="tx1"/>
            </w14:solidFill>
          </w14:textFill>
        </w:rPr>
        <w:t>%；老龄卫生健康事务支出</w:t>
      </w:r>
      <w:r>
        <w:rPr>
          <w:rFonts w:hint="eastAsia" w:ascii="仿宋_GB2312" w:eastAsia="仿宋_GB2312"/>
          <w:color w:val="000000" w:themeColor="text1"/>
          <w:sz w:val="32"/>
          <w:szCs w:val="32"/>
          <w:lang w:val="en-US" w:eastAsia="zh-CN"/>
          <w14:textFill>
            <w14:solidFill>
              <w14:schemeClr w14:val="tx1"/>
            </w14:solidFill>
          </w14:textFill>
        </w:rPr>
        <w:t>107.47</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color w:val="000000" w:themeColor="text1"/>
          <w:sz w:val="32"/>
          <w:szCs w:val="32"/>
          <w:lang w:val="en-US" w:eastAsia="zh-CN"/>
          <w14:textFill>
            <w14:solidFill>
              <w14:schemeClr w14:val="tx1"/>
            </w14:solidFill>
          </w14:textFill>
        </w:rPr>
        <w:t>84.55</w:t>
      </w:r>
      <w:r>
        <w:rPr>
          <w:rFonts w:hint="eastAsia" w:ascii="仿宋_GB2312" w:eastAsia="仿宋_GB2312"/>
          <w:color w:val="000000" w:themeColor="text1"/>
          <w:sz w:val="32"/>
          <w:szCs w:val="32"/>
          <w14:textFill>
            <w14:solidFill>
              <w14:schemeClr w14:val="tx1"/>
            </w14:solidFill>
          </w14:textFill>
        </w:rPr>
        <w:t>%；住房保障支出9.03万元，占7.</w:t>
      </w:r>
      <w:r>
        <w:rPr>
          <w:rFonts w:hint="eastAsia" w:ascii="仿宋_GB2312" w:eastAsia="仿宋_GB2312"/>
          <w:color w:val="000000" w:themeColor="text1"/>
          <w:sz w:val="32"/>
          <w:szCs w:val="32"/>
          <w:lang w:val="en-US" w:eastAsia="zh-CN"/>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457"/>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1.卫生健康支出（类）老龄卫生健康事务（款）老龄卫生健康事务（项）2024年预算数为104.05万元，主要用于老龄卫生健康事务方面的支出。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2.社会保障和就业支出（类）行政事业单位养老支出（款）机关事业单位基本养老保险缴费支出（项）2024年预算数为10.61万元，主要用于机关事业单位实施养老保险制度由单位缴纳的基本养老保险费支出。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3.住房保障支出（类）住房改革支出（款）住房公积金（项）2024年预算数为9.03万元，主要用于按规定为职工缴纳的住房公积金。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4.卫生健康支出（类）行政事业单位医疗（款）行政单位医疗（项）2024年预算数为3.42万元，主要用于机关及参公管理事业单位按规定由单位缴纳的基本医疗保险支出。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0103"/>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广元市老龄工作委员会办公室2024年一般公共预算基本支出117.57万元，其中：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人员经费102.80万元，主要包括：基本工资、津贴补贴、奖金、机关事业单位基本养老保险缴费、职工基本医疗保险缴费、其他社会保障缴费、住房公积金、生活补助等支出。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公用经费14.77万元，主要包括：办公费、邮电费、差旅费、公务接待费、工会经费、福利费、其他交通费用、其他商品和服务支出等支出。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7443"/>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广元市老龄工作委员会办公室2024年“三公”经费财政拨款预算数0.46万元，其中：公务接待费0.46万元，公务用车购置及运行维护费0万元，因公出国（境）经费0万元。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3546"/>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公务接待费与2023年预算相比下降0.04万元，主要原因是落实过紧日子要求，压减公务接待费支出。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pStyle w:val="5"/>
        <w:adjustRightInd w:val="0"/>
        <w:snapToGrid w:val="0"/>
        <w:spacing w:beforeLines="0" w:line="576" w:lineRule="exact"/>
        <w:ind w:firstLine="640" w:firstLineChars="200"/>
        <w:outlineLvl w:val="1"/>
        <w:rPr>
          <w:rFonts w:ascii="楷体_GB2312" w:hAnsi="Times New Roman" w:eastAsia="楷体_GB2312" w:cs="Times New Roman"/>
          <w:bCs/>
          <w:color w:val="000000" w:themeColor="text1"/>
          <w:sz w:val="32"/>
          <w:szCs w:val="32"/>
          <w:highlight w:val="yellow"/>
          <w14:textFill>
            <w14:solidFill>
              <w14:schemeClr w14:val="tx1"/>
            </w14:solidFill>
          </w14:textFill>
        </w:rPr>
      </w:pPr>
      <w:bookmarkStart w:id="16" w:name="_Toc4654"/>
      <w:bookmarkStart w:id="17" w:name="_Toc8582"/>
      <w:r>
        <w:rPr>
          <w:rFonts w:hint="eastAsia" w:ascii="楷体_GB2312" w:hAnsi="Times New Roman" w:eastAsia="楷体_GB2312" w:cs="Times New Roman"/>
          <w:bCs/>
          <w:color w:val="000000" w:themeColor="text1"/>
          <w:sz w:val="32"/>
          <w:szCs w:val="32"/>
          <w14:textFill>
            <w14:solidFill>
              <w14:schemeClr w14:val="tx1"/>
            </w14:solidFill>
          </w14:textFill>
        </w:rPr>
        <w:t>（二）公务用车购置及运行维护费</w:t>
      </w:r>
      <w:bookmarkEnd w:id="16"/>
      <w:bookmarkEnd w:id="17"/>
    </w:p>
    <w:p>
      <w:pPr>
        <w:pStyle w:val="17"/>
        <w:adjustRightInd w:val="0"/>
        <w:snapToGrid w:val="0"/>
        <w:spacing w:line="576"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楷体_GB2312" w:hAnsi="Times New Roman" w:eastAsia="楷体_GB2312" w:cs="Times New Roman"/>
          <w:bCs/>
          <w:color w:val="000000" w:themeColor="text1"/>
          <w:sz w:val="32"/>
          <w:szCs w:val="32"/>
          <w14:textFill>
            <w14:solidFill>
              <w14:schemeClr w14:val="tx1"/>
            </w14:solidFill>
          </w14:textFill>
        </w:rPr>
        <w:t>公务用车购置及运行维护费</w:t>
      </w:r>
      <w:r>
        <w:rPr>
          <w:rFonts w:hint="eastAsia" w:ascii="仿宋_GB2312" w:eastAsia="仿宋_GB2312"/>
          <w:color w:val="000000" w:themeColor="text1"/>
          <w:sz w:val="32"/>
          <w:szCs w:val="32"/>
          <w14:textFill>
            <w14:solidFill>
              <w14:schemeClr w14:val="tx1"/>
            </w14:solidFill>
          </w14:textFill>
        </w:rPr>
        <w:t>无预算安排，与202</w:t>
      </w: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年持平</w:t>
      </w:r>
      <w:r>
        <w:rPr>
          <w:rFonts w:hint="eastAsia" w:ascii="仿宋_GB2312" w:eastAsia="仿宋_GB2312"/>
          <w:color w:val="000000" w:themeColor="text1"/>
          <w:sz w:val="32"/>
          <w:szCs w:val="32"/>
          <w:lang w:eastAsia="zh-CN"/>
          <w14:textFill>
            <w14:solidFill>
              <w14:schemeClr w14:val="tx1"/>
            </w14:solidFill>
          </w14:textFill>
        </w:rPr>
        <w:t>，</w:t>
      </w:r>
    </w:p>
    <w:p>
      <w:pPr>
        <w:pStyle w:val="17"/>
        <w:adjustRightInd w:val="0"/>
        <w:snapToGrid w:val="0"/>
        <w:spacing w:line="576"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单位无公务用车</w:t>
      </w:r>
      <w:r>
        <w:rPr>
          <w:rFonts w:hint="eastAsia" w:ascii="仿宋_GB2312" w:eastAsia="仿宋_GB2312"/>
          <w:color w:val="000000" w:themeColor="text1"/>
          <w:sz w:val="32"/>
          <w:szCs w:val="32"/>
          <w14:textFill>
            <w14:solidFill>
              <w14:schemeClr w14:val="tx1"/>
            </w14:solidFill>
          </w14:textFill>
        </w:rPr>
        <w:t>。</w:t>
      </w:r>
    </w:p>
    <w:p>
      <w:pPr>
        <w:pStyle w:val="17"/>
        <w:adjustRightInd w:val="0"/>
        <w:snapToGrid w:val="0"/>
        <w:spacing w:line="576" w:lineRule="exact"/>
        <w:ind w:firstLine="640"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2024年未安排公务用车购置费</w:t>
      </w:r>
      <w:r>
        <w:rPr>
          <w:rFonts w:hint="eastAsia" w:ascii="仿宋_GB2312" w:eastAsia="仿宋_GB2312"/>
          <w:color w:val="000000" w:themeColor="text1"/>
          <w:sz w:val="32"/>
          <w:szCs w:val="32"/>
          <w:lang w:val="en-US" w:eastAsia="zh-CN"/>
          <w14:textFill>
            <w14:solidFill>
              <w14:schemeClr w14:val="tx1"/>
            </w14:solidFill>
          </w14:textFill>
        </w:rPr>
        <w:t>和公务用车运行维护费</w:t>
      </w:r>
      <w:r>
        <w:rPr>
          <w:rFonts w:hint="eastAsia" w:ascii="仿宋_GB2312" w:eastAsia="仿宋_GB2312"/>
          <w:color w:val="000000" w:themeColor="text1"/>
          <w:sz w:val="32"/>
          <w:szCs w:val="32"/>
          <w:lang w:eastAsia="zh-CN"/>
          <w14:textFill>
            <w14:solidFill>
              <w14:schemeClr w14:val="tx1"/>
            </w14:solidFill>
          </w14:textFill>
        </w:rPr>
        <w:t>。</w:t>
      </w:r>
    </w:p>
    <w:p>
      <w:pPr>
        <w:pStyle w:val="5"/>
        <w:adjustRightInd w:val="0"/>
        <w:snapToGrid w:val="0"/>
        <w:spacing w:beforeLines="0" w:line="576" w:lineRule="exact"/>
        <w:ind w:firstLine="640" w:firstLineChars="200"/>
        <w:outlineLvl w:val="1"/>
        <w:rPr>
          <w:rFonts w:ascii="楷体_GB2312" w:hAnsi="Times New Roman" w:eastAsia="楷体_GB2312" w:cs="Times New Roman"/>
          <w:bCs/>
          <w:color w:val="000000" w:themeColor="text1"/>
          <w:sz w:val="32"/>
          <w:szCs w:val="32"/>
          <w:highlight w:val="yellow"/>
          <w14:textFill>
            <w14:solidFill>
              <w14:schemeClr w14:val="tx1"/>
            </w14:solidFill>
          </w14:textFill>
        </w:rPr>
      </w:pPr>
      <w:bookmarkStart w:id="18" w:name="_Toc8084"/>
      <w:bookmarkStart w:id="19" w:name="_Toc1415"/>
      <w:r>
        <w:rPr>
          <w:rFonts w:hint="eastAsia" w:ascii="楷体_GB2312" w:hAnsi="Times New Roman" w:eastAsia="楷体_GB2312" w:cs="Times New Roman"/>
          <w:bCs/>
          <w:color w:val="000000" w:themeColor="text1"/>
          <w:sz w:val="32"/>
          <w:szCs w:val="32"/>
          <w14:textFill>
            <w14:solidFill>
              <w14:schemeClr w14:val="tx1"/>
            </w14:solidFill>
          </w14:textFill>
        </w:rPr>
        <w:t>（三）因公出国（境）经费</w:t>
      </w:r>
      <w:bookmarkEnd w:id="18"/>
      <w:bookmarkEnd w:id="19"/>
    </w:p>
    <w:p>
      <w:pPr>
        <w:pStyle w:val="17"/>
        <w:adjustRightInd w:val="0"/>
        <w:snapToGrid w:val="0"/>
        <w:spacing w:line="576" w:lineRule="exact"/>
        <w:ind w:firstLine="640" w:firstLineChars="20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因公出国（境）经费无预算安排，与202</w:t>
      </w: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年持平。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19073"/>
      <w:r>
        <w:rPr>
          <w:rFonts w:hint="eastAsia" w:ascii="黑体" w:hAnsi="黑体" w:eastAsia="黑体" w:cs="黑体"/>
          <w:sz w:val="32"/>
          <w:szCs w:val="32"/>
          <w:lang w:val="en-US" w:eastAsia="zh-CN"/>
        </w:rPr>
        <w:t>八、政府性基金预算支出情况说明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广元市老龄工作委员会办公室2024年无政府性基金预算拨款安排的支出。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18513"/>
      <w:r>
        <w:rPr>
          <w:rFonts w:hint="eastAsia" w:ascii="黑体" w:hAnsi="黑体" w:eastAsia="黑体" w:cs="黑体"/>
          <w:sz w:val="32"/>
          <w:szCs w:val="32"/>
          <w:lang w:val="en-US" w:eastAsia="zh-CN"/>
        </w:rPr>
        <w:t>九、国有资本经营预算支出情况说明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广元市老龄工作委员会办公室2024年无国有资本经营预算拨款安排的支出。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11079"/>
      <w:r>
        <w:rPr>
          <w:rFonts w:hint="eastAsia" w:ascii="黑体" w:hAnsi="黑体" w:eastAsia="黑体" w:cs="黑体"/>
          <w:sz w:val="32"/>
          <w:szCs w:val="32"/>
          <w:lang w:val="en-US" w:eastAsia="zh-CN"/>
        </w:rPr>
        <w:t>十、其他重要事项的情况说明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3" w:name="_Toc9376"/>
      <w:r>
        <w:rPr>
          <w:rFonts w:hint="eastAsia" w:ascii="楷体_GB2312" w:hAnsi="楷体_GB2312" w:eastAsia="楷体_GB2312" w:cs="楷体_GB2312"/>
          <w:b/>
          <w:bCs/>
          <w:sz w:val="32"/>
          <w:szCs w:val="32"/>
          <w:lang w:val="en-US" w:eastAsia="zh-CN"/>
        </w:rPr>
        <w:t>（一）机关运行经费</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2024年，广元市老龄工作委员会办公室的机关运行经费财政拨款预算为14.77万元，比2023年预算增加0.02万元，增长0.14%。主要原因是办公费增加。</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4" w:name="_Toc27543"/>
      <w:r>
        <w:rPr>
          <w:rFonts w:hint="eastAsia" w:ascii="楷体_GB2312" w:hAnsi="楷体_GB2312" w:eastAsia="楷体_GB2312" w:cs="楷体_GB2312"/>
          <w:b/>
          <w:bCs/>
          <w:sz w:val="32"/>
          <w:szCs w:val="32"/>
          <w:lang w:val="en-US" w:eastAsia="zh-CN"/>
        </w:rPr>
        <w:t>（二）政府采购情况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广元市老龄工作委员会办公室2024年无政府采购预算。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5" w:name="_Toc28834"/>
      <w:r>
        <w:rPr>
          <w:rFonts w:hint="eastAsia" w:ascii="楷体_GB2312" w:hAnsi="楷体_GB2312" w:eastAsia="楷体_GB2312" w:cs="楷体_GB2312"/>
          <w:b/>
          <w:bCs/>
          <w:sz w:val="32"/>
          <w:szCs w:val="32"/>
          <w:lang w:val="en-US" w:eastAsia="zh-CN"/>
        </w:rPr>
        <w:t>（三）国有资产占有使用情况</w:t>
      </w:r>
      <w:bookmarkEnd w:id="25"/>
    </w:p>
    <w:p>
      <w:pPr>
        <w:adjustRightInd w:val="0"/>
        <w:snapToGrid w:val="0"/>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lang w:val="en-US" w:eastAsia="zh-CN"/>
        </w:rPr>
        <w:t>截至2023年底，广元市老龄工作委员会办公室</w:t>
      </w:r>
      <w:r>
        <w:rPr>
          <w:rFonts w:hint="eastAsia" w:ascii="仿宋_GB2312" w:eastAsia="仿宋_GB2312"/>
          <w:color w:val="000000" w:themeColor="text1"/>
          <w:spacing w:val="-11"/>
          <w:sz w:val="32"/>
          <w:szCs w:val="32"/>
          <w14:textFill>
            <w14:solidFill>
              <w14:schemeClr w14:val="tx1"/>
            </w14:solidFill>
          </w14:textFill>
        </w:rPr>
        <w:t>无车辆，无价值</w:t>
      </w:r>
      <w:r>
        <w:rPr>
          <w:rFonts w:hint="eastAsia" w:ascii="仿宋_GB2312" w:eastAsia="仿宋_GB2312"/>
          <w:color w:val="000000" w:themeColor="text1"/>
          <w:spacing w:val="-11"/>
          <w:sz w:val="32"/>
          <w:szCs w:val="32"/>
          <w:lang w:val="en-US" w:eastAsia="zh-CN"/>
          <w14:textFill>
            <w14:solidFill>
              <w14:schemeClr w14:val="tx1"/>
            </w14:solidFill>
          </w14:textFill>
        </w:rPr>
        <w:t>200</w:t>
      </w:r>
      <w:r>
        <w:rPr>
          <w:rFonts w:hint="eastAsia" w:ascii="仿宋_GB2312" w:eastAsia="仿宋_GB2312"/>
          <w:color w:val="000000" w:themeColor="text1"/>
          <w:spacing w:val="-11"/>
          <w:sz w:val="32"/>
          <w:szCs w:val="32"/>
          <w14:textFill>
            <w14:solidFill>
              <w14:schemeClr w14:val="tx1"/>
            </w14:solidFill>
          </w14:textFill>
        </w:rPr>
        <w:t>万元以上</w:t>
      </w:r>
      <w:r>
        <w:rPr>
          <w:rFonts w:hint="eastAsia" w:ascii="仿宋_GB2312" w:hAnsi="仿宋_GB2312" w:eastAsia="仿宋_GB2312" w:cs="仿宋_GB2312"/>
          <w:sz w:val="32"/>
          <w:szCs w:val="32"/>
          <w:lang w:val="en-US" w:eastAsia="zh-CN"/>
        </w:rPr>
        <w:t>大型设备</w:t>
      </w:r>
      <w:r>
        <w:rPr>
          <w:rFonts w:hint="eastAsia" w:ascii="仿宋_GB2312" w:eastAsia="仿宋_GB2312"/>
          <w:color w:val="000000" w:themeColor="text1"/>
          <w:sz w:val="32"/>
          <w:szCs w:val="32"/>
          <w14:textFill>
            <w14:solidFill>
              <w14:schemeClr w14:val="tx1"/>
            </w14:solidFill>
          </w14:textFill>
        </w:rPr>
        <w:t xml:space="preserve">。 </w:t>
      </w:r>
      <w:bookmarkStart w:id="28" w:name="_GoBack"/>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hint="eastAsia" w:ascii="楷体_GB2312" w:hAnsi="楷体_GB2312" w:eastAsia="楷体_GB2312" w:cs="楷体_GB2312"/>
          <w:b/>
          <w:bCs/>
          <w:sz w:val="32"/>
          <w:szCs w:val="32"/>
        </w:rPr>
      </w:pPr>
      <w:bookmarkStart w:id="26" w:name="_Toc15071"/>
      <w:r>
        <w:rPr>
          <w:rFonts w:hint="eastAsia" w:ascii="楷体_GB2312" w:hAnsi="楷体_GB2312" w:eastAsia="楷体_GB2312" w:cs="楷体_GB2312"/>
          <w:b/>
          <w:bCs/>
          <w:sz w:val="32"/>
          <w:szCs w:val="32"/>
          <w:lang w:val="en-US" w:eastAsia="zh-CN"/>
        </w:rPr>
        <w:t>（四）绩效目标设置情况</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2024年广元市老龄工作委员会办公室开展绩效目标管理的项目14个，涉及预算127.10万元。其中：人员类项目6个，涉及预算102.80万元；运转类项目3个，涉及预算14.77万元；特定目标类项目5个，涉及预算9.53万元。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23161"/>
      <w:r>
        <w:rPr>
          <w:rFonts w:hint="eastAsia" w:ascii="黑体" w:hAnsi="黑体" w:eastAsia="黑体" w:cs="黑体"/>
          <w:sz w:val="32"/>
          <w:szCs w:val="32"/>
          <w:lang w:val="en-US" w:eastAsia="zh-CN"/>
        </w:rPr>
        <w:t>十一、名词解释</w:t>
      </w:r>
      <w:bookmarkEnd w:id="27"/>
    </w:p>
    <w:p>
      <w:pPr>
        <w:pStyle w:val="10"/>
        <w:widowControl/>
        <w:numPr>
          <w:ilvl w:val="0"/>
          <w:numId w:val="2"/>
        </w:numPr>
        <w:adjustRightInd w:val="0"/>
        <w:snapToGrid w:val="0"/>
        <w:spacing w:beforeAutospacing="0" w:afterAutospacing="0" w:line="576" w:lineRule="exact"/>
        <w:ind w:left="0" w:leftChars="0" w:firstLine="400" w:firstLineChars="0"/>
        <w:rPr>
          <w:rFonts w:ascii="仿宋_GB2312" w:eastAsia="仿宋_GB2312" w:cstheme="minorBidi"/>
          <w:color w:val="000000" w:themeColor="text1"/>
          <w:spacing w:val="-8"/>
          <w:kern w:val="2"/>
          <w:sz w:val="32"/>
          <w:szCs w:val="32"/>
          <w14:textFill>
            <w14:solidFill>
              <w14:schemeClr w14:val="tx1"/>
            </w14:solidFill>
          </w14:textFill>
        </w:rPr>
      </w:pPr>
      <w:r>
        <w:rPr>
          <w:rFonts w:ascii="仿宋_GB2312" w:eastAsia="仿宋_GB2312" w:cstheme="minorBidi"/>
          <w:color w:val="000000" w:themeColor="text1"/>
          <w:spacing w:val="-8"/>
          <w:kern w:val="2"/>
          <w:sz w:val="32"/>
          <w:szCs w:val="32"/>
          <w14:textFill>
            <w14:solidFill>
              <w14:schemeClr w14:val="tx1"/>
            </w14:solidFill>
          </w14:textFill>
        </w:rPr>
        <w:t>财政拨款收入：指单位从同级财政部门取得的财政预算资金。</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社会保障和就业支出（类）行政事业单位养老支出（款）机关事业单位基本养老保险缴费支出（项）2080505：指反映机关事业单位实施养老保险制度由单位缴纳的基本养老保险费支出。</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卫生健康支出（类）行政事业单位医疗（款）行政单位医疗（项）2101101：指反映财政部门安排的行政单位（包括实行公务员管理的事业单位）基本医疗保险缴费经费，未参加医疗保险的行政单位的公费医疗经费，按国家规定享受离休人员、红军老战士待遇人员的医疗经费。</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卫生健康支出（类）老龄卫生健康事务（款）老龄卫生健康事务（项）2101601：指反映老龄卫生健康事务方面的支出。</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住房保障支出（类）住房改革支出（款）住房公积金（项）2210201：指反映行政事业单位按人力资源和社会保障部、财政部规定的基本工资和津贴补贴以及规定比例为职工缴纳的住房公积金。</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基本支出：指为保障机构正常运转、完成日常工作任务而发生的人员支出和公用支出。</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项目支出：指在基本支出之外为完成特定行政任务和事业发展目标所发生的支出。</w:t>
      </w:r>
    </w:p>
    <w:p>
      <w:pPr>
        <w:pStyle w:val="10"/>
        <w:widowControl/>
        <w:numPr>
          <w:ilvl w:val="0"/>
          <w:numId w:val="2"/>
        </w:numPr>
        <w:adjustRightInd w:val="0"/>
        <w:snapToGrid w:val="0"/>
        <w:spacing w:beforeAutospacing="0" w:afterAutospacing="0" w:line="576" w:lineRule="exact"/>
        <w:ind w:left="0" w:leftChars="0" w:firstLine="400" w:firstLineChars="0"/>
        <w:rPr>
          <w:rFonts w:ascii="仿宋_GB2312" w:eastAsia="仿宋_GB2312" w:cstheme="minorBidi"/>
          <w:color w:val="000000" w:themeColor="text1"/>
          <w:kern w:val="2"/>
          <w:sz w:val="32"/>
          <w:szCs w:val="32"/>
          <w14:textFill>
            <w14:solidFill>
              <w14:schemeClr w14:val="tx1"/>
            </w14:solidFill>
          </w14:textFill>
        </w:rPr>
      </w:pPr>
      <w:r>
        <w:rPr>
          <w:rFonts w:ascii="仿宋_GB2312" w:eastAsia="仿宋_GB2312" w:cstheme="minorBidi"/>
          <w:color w:val="000000" w:themeColor="text1"/>
          <w:kern w:val="2"/>
          <w:sz w:val="32"/>
          <w:szCs w:val="32"/>
          <w14:textFill>
            <w14:solidFill>
              <w14:schemeClr w14:val="tx1"/>
            </w14:solidFill>
          </w14:textFill>
        </w:rPr>
        <w:t>“三公”经费：</w:t>
      </w:r>
      <w:r>
        <w:rPr>
          <w:rFonts w:hint="eastAsia" w:ascii="仿宋_GB2312" w:eastAsia="仿宋_GB2312" w:cstheme="minorBidi"/>
          <w:color w:val="000000" w:themeColor="text1"/>
          <w:kern w:val="2"/>
          <w:sz w:val="32"/>
          <w:szCs w:val="32"/>
          <w14:textFill>
            <w14:solidFill>
              <w14:schemeClr w14:val="tx1"/>
            </w14:solidFill>
          </w14:textFill>
        </w:rPr>
        <w:t>纳入部门预算管理的“三公”经费，</w:t>
      </w:r>
      <w:r>
        <w:rPr>
          <w:rFonts w:ascii="仿宋_GB2312" w:eastAsia="仿宋_GB2312" w:cstheme="minorBidi"/>
          <w:color w:val="000000" w:themeColor="text1"/>
          <w:kern w:val="2"/>
          <w:sz w:val="32"/>
          <w:szCs w:val="32"/>
          <w14:textFill>
            <w14:solidFill>
              <w14:schemeClr w14:val="tx1"/>
            </w14:solidFill>
          </w14:textFill>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numPr>
          <w:ilvl w:val="0"/>
          <w:numId w:val="2"/>
        </w:numPr>
        <w:adjustRightInd w:val="0"/>
        <w:snapToGrid w:val="0"/>
        <w:spacing w:line="576" w:lineRule="exact"/>
        <w:ind w:left="0" w:leftChars="0" w:firstLine="400" w:firstLineChars="0"/>
        <w:jc w:val="left"/>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附件：广元</w:t>
      </w:r>
      <w:r>
        <w:rPr>
          <w:rFonts w:hint="eastAsia" w:ascii="仿宋_GB2312" w:eastAsia="仿宋_GB2312"/>
          <w:color w:val="000000" w:themeColor="text1"/>
          <w:sz w:val="32"/>
          <w:szCs w:val="32"/>
          <w14:textFill>
            <w14:solidFill>
              <w14:schemeClr w14:val="tx1"/>
            </w14:solidFill>
          </w14:textFill>
        </w:rPr>
        <w:t>市老龄工作委员会办公室</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295AB"/>
    <w:multiLevelType w:val="singleLevel"/>
    <w:tmpl w:val="100295AB"/>
    <w:lvl w:ilvl="0" w:tentative="0">
      <w:start w:val="1"/>
      <w:numFmt w:val="decimal"/>
      <w:suff w:val="nothing"/>
      <w:lvlText w:val="%1．"/>
      <w:lvlJc w:val="left"/>
      <w:pPr>
        <w:ind w:left="0" w:firstLine="400"/>
      </w:pPr>
      <w:rPr>
        <w:rFonts w:hint="default"/>
      </w:rPr>
    </w:lvl>
  </w:abstractNum>
  <w:abstractNum w:abstractNumId="1">
    <w:nsid w:val="61F080CF"/>
    <w:multiLevelType w:val="singleLevel"/>
    <w:tmpl w:val="61F080C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334bff8b-d057-4ced-892a-62cdb10ce4b7"/>
  </w:docVars>
  <w:rsids>
    <w:rsidRoot w:val="00000000"/>
    <w:rsid w:val="001E27A0"/>
    <w:rsid w:val="012352D1"/>
    <w:rsid w:val="03006721"/>
    <w:rsid w:val="05E1055E"/>
    <w:rsid w:val="06163BAC"/>
    <w:rsid w:val="09562E24"/>
    <w:rsid w:val="0B162307"/>
    <w:rsid w:val="117619C8"/>
    <w:rsid w:val="13116AD2"/>
    <w:rsid w:val="13CF072A"/>
    <w:rsid w:val="16886B26"/>
    <w:rsid w:val="16E01B03"/>
    <w:rsid w:val="1B693D97"/>
    <w:rsid w:val="1D691D17"/>
    <w:rsid w:val="1F7BF06F"/>
    <w:rsid w:val="1FEE4B73"/>
    <w:rsid w:val="236D0B7B"/>
    <w:rsid w:val="23CE9849"/>
    <w:rsid w:val="259D70CC"/>
    <w:rsid w:val="297D4EF8"/>
    <w:rsid w:val="378E1AA7"/>
    <w:rsid w:val="39F304DD"/>
    <w:rsid w:val="3BD25FD3"/>
    <w:rsid w:val="3FF00B39"/>
    <w:rsid w:val="4079434E"/>
    <w:rsid w:val="44C45FCB"/>
    <w:rsid w:val="456D73CD"/>
    <w:rsid w:val="460F0373"/>
    <w:rsid w:val="47A631BE"/>
    <w:rsid w:val="4E0235B4"/>
    <w:rsid w:val="54244390"/>
    <w:rsid w:val="54662A63"/>
    <w:rsid w:val="55C95B9E"/>
    <w:rsid w:val="55EC118B"/>
    <w:rsid w:val="58064E12"/>
    <w:rsid w:val="5AEE74A6"/>
    <w:rsid w:val="5BFEE015"/>
    <w:rsid w:val="60A6541B"/>
    <w:rsid w:val="61CB43C9"/>
    <w:rsid w:val="63EDCF55"/>
    <w:rsid w:val="63FBFBCF"/>
    <w:rsid w:val="669360FD"/>
    <w:rsid w:val="67CB1CB7"/>
    <w:rsid w:val="680A3D14"/>
    <w:rsid w:val="68FF6A83"/>
    <w:rsid w:val="6B645133"/>
    <w:rsid w:val="6F564D30"/>
    <w:rsid w:val="6FBBC9CF"/>
    <w:rsid w:val="6FD809F9"/>
    <w:rsid w:val="72BDE561"/>
    <w:rsid w:val="77954377"/>
    <w:rsid w:val="78462278"/>
    <w:rsid w:val="7997EA6C"/>
    <w:rsid w:val="7A0373B9"/>
    <w:rsid w:val="7AEAE675"/>
    <w:rsid w:val="7BAFCE5D"/>
    <w:rsid w:val="7C7E0232"/>
    <w:rsid w:val="7D46598C"/>
    <w:rsid w:val="7DFB240B"/>
    <w:rsid w:val="7E0935ED"/>
    <w:rsid w:val="7FCF2AF7"/>
    <w:rsid w:val="7FF31408"/>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0"/>
    <w:pPr>
      <w:ind w:left="420" w:leftChars="200"/>
    </w:pPr>
    <w:rPr>
      <w:rFonts w:eastAsia="宋体"/>
      <w:szCs w:val="24"/>
    </w:r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paragraph" w:styleId="9">
    <w:name w:val="toc 2"/>
    <w:basedOn w:val="1"/>
    <w:next w:val="1"/>
    <w:unhideWhenUsed/>
    <w:qFormat/>
    <w:uiPriority w:val="39"/>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character" w:customStyle="1" w:styleId="16">
    <w:name w:val="15"/>
    <w:basedOn w:val="12"/>
    <w:qFormat/>
    <w:uiPriority w:val="0"/>
    <w:rPr>
      <w:rFonts w:hint="default" w:ascii="Times New Roman" w:hAnsi="Times New Roman" w:cs="Times New Roman"/>
    </w:rPr>
  </w:style>
  <w:style w:type="paragraph" w:customStyle="1" w:styleId="17">
    <w:name w:val="样式 行距: 固定值 28.9 磅"/>
    <w:basedOn w:val="1"/>
    <w:qFormat/>
    <w:uiPriority w:val="0"/>
    <w:pPr>
      <w:spacing w:line="578" w:lineRule="exact"/>
    </w:pPr>
    <w:rPr>
      <w:rFonts w:cs="宋体"/>
      <w:szCs w:val="20"/>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3947</Words>
  <Characters>4245</Characters>
  <TotalTime>0</TotalTime>
  <ScaleCrop>false</ScaleCrop>
  <LinksUpToDate>false</LinksUpToDate>
  <CharactersWithSpaces>4322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2024-03-03T17:00:03Z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9EFF61E48B8048B497D720B8617947A8_13</vt:lpwstr>
  </property>
</Properties>
</file>