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shd w:val="clear" w:color="auto" w:fill="FFFFFF"/>
        </w:rPr>
        <w:t>广元市市场监督管理局广元经开区分局</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52"/>
          <w:szCs w:val="52"/>
          <w:shd w:val="clear" w:color="auto" w:fill="FFFFFF"/>
        </w:rPr>
      </w:pPr>
      <w:r>
        <w:rPr>
          <w:rFonts w:hint="eastAsia" w:ascii="方正小标宋简体" w:hAnsi="方正小标宋简体" w:eastAsia="方正小标宋简体" w:cs="方正小标宋简体"/>
          <w:color w:val="000000" w:themeColor="text1"/>
          <w:kern w:val="0"/>
          <w:sz w:val="52"/>
          <w:szCs w:val="52"/>
          <w:shd w:val="clear" w:color="auto" w:fill="FFFFFF"/>
        </w:rPr>
        <w:t>2024年单位预算编制说明</w:t>
      </w: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sdt>
      <w:sdtPr>
        <w:rPr>
          <w:rFonts w:ascii="宋体" w:hAnsi="宋体" w:eastAsia="宋体" w:cs="Times New Roman"/>
          <w:kern w:val="2"/>
          <w:sz w:val="21"/>
          <w:szCs w:val="24"/>
          <w:lang w:val="en-US" w:eastAsia="zh-CN" w:bidi="ar-SA"/>
        </w:rPr>
        <w:id w:val="715281534"/>
        <w15:color w:val="DBDBDB"/>
        <w:docPartObj>
          <w:docPartGallery w:val="Table of Contents"/>
          <w:docPartUnique/>
        </w:docPartObj>
      </w:sdtPr>
      <w:sdtEndPr>
        <w:rPr>
          <w:rFonts w:hint="eastAsia" w:ascii="黑体" w:hAnsi="黑体" w:eastAsia="黑体" w:cs="黑体"/>
          <w:color w:val="000000" w:themeColor="text1"/>
          <w:kern w:val="0"/>
          <w:sz w:val="21"/>
          <w:szCs w:val="32"/>
          <w:shd w:val="clear" w:color="auto" w:fill="FFFFFF"/>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9"/>
            <w:tabs>
              <w:tab w:val="right" w:leader="dot" w:pos="8845"/>
            </w:tabs>
            <w:spacing w:line="360" w:lineRule="auto"/>
          </w:pPr>
          <w:r>
            <w:fldChar w:fldCharType="begin"/>
          </w:r>
          <w:r>
            <w:instrText xml:space="preserve">TOC \o "1-2" \t "目录" \h \u </w:instrText>
          </w:r>
          <w:r>
            <w:fldChar w:fldCharType="separate"/>
          </w:r>
          <w:r>
            <w:fldChar w:fldCharType="begin"/>
          </w:r>
          <w:r>
            <w:instrText xml:space="preserve"> HYPERLINK \l _Toc1491539436 </w:instrText>
          </w:r>
          <w:r>
            <w:fldChar w:fldCharType="separate"/>
          </w:r>
          <w:r>
            <w:rPr>
              <w:rFonts w:hint="eastAsia" w:ascii="黑体" w:eastAsia="黑体"/>
              <w:szCs w:val="32"/>
            </w:rPr>
            <w:t>一、基本职能及主要工作</w:t>
          </w:r>
          <w:r>
            <w:tab/>
          </w:r>
          <w:r>
            <w:fldChar w:fldCharType="begin"/>
          </w:r>
          <w:r>
            <w:instrText xml:space="preserve"> PAGEREF _Toc1491539436 \h </w:instrText>
          </w:r>
          <w:r>
            <w:fldChar w:fldCharType="separate"/>
          </w:r>
          <w:r>
            <w:t>3</w:t>
          </w:r>
          <w:r>
            <w:fldChar w:fldCharType="end"/>
          </w:r>
          <w:r>
            <w:fldChar w:fldCharType="end"/>
          </w:r>
        </w:p>
        <w:p>
          <w:pPr>
            <w:pStyle w:val="11"/>
            <w:tabs>
              <w:tab w:val="right" w:leader="dot" w:pos="8845"/>
            </w:tabs>
            <w:spacing w:line="360" w:lineRule="auto"/>
          </w:pPr>
          <w:r>
            <w:fldChar w:fldCharType="begin"/>
          </w:r>
          <w:r>
            <w:instrText xml:space="preserve"> HYPERLINK \l _Toc622200408 </w:instrText>
          </w:r>
          <w:r>
            <w:fldChar w:fldCharType="separate"/>
          </w:r>
          <w:r>
            <w:rPr>
              <w:rFonts w:hint="eastAsia"/>
            </w:rPr>
            <w:t>（一）单位职能简介</w:t>
          </w:r>
          <w:r>
            <w:tab/>
          </w:r>
          <w:r>
            <w:fldChar w:fldCharType="begin"/>
          </w:r>
          <w:r>
            <w:instrText xml:space="preserve"> PAGEREF _Toc622200408 \h </w:instrText>
          </w:r>
          <w:r>
            <w:fldChar w:fldCharType="separate"/>
          </w:r>
          <w:r>
            <w:t>3</w:t>
          </w:r>
          <w:r>
            <w:fldChar w:fldCharType="end"/>
          </w:r>
          <w:r>
            <w:fldChar w:fldCharType="end"/>
          </w:r>
        </w:p>
        <w:p>
          <w:pPr>
            <w:pStyle w:val="11"/>
            <w:tabs>
              <w:tab w:val="right" w:leader="dot" w:pos="8845"/>
            </w:tabs>
            <w:spacing w:line="360" w:lineRule="auto"/>
          </w:pPr>
          <w:r>
            <w:fldChar w:fldCharType="begin"/>
          </w:r>
          <w:r>
            <w:instrText xml:space="preserve"> HYPERLINK \l _Toc922802584 </w:instrText>
          </w:r>
          <w:r>
            <w:fldChar w:fldCharType="separate"/>
          </w:r>
          <w:r>
            <w:rPr>
              <w:rFonts w:hint="eastAsia"/>
            </w:rPr>
            <w:t>（二）单位2024年重点工作</w:t>
          </w:r>
          <w:r>
            <w:tab/>
          </w:r>
          <w:r>
            <w:fldChar w:fldCharType="begin"/>
          </w:r>
          <w:r>
            <w:instrText xml:space="preserve"> PAGEREF _Toc922802584 \h </w:instrText>
          </w:r>
          <w:r>
            <w:fldChar w:fldCharType="separate"/>
          </w:r>
          <w:r>
            <w:t>5</w:t>
          </w:r>
          <w:r>
            <w:fldChar w:fldCharType="end"/>
          </w:r>
          <w:r>
            <w:fldChar w:fldCharType="end"/>
          </w:r>
        </w:p>
        <w:p>
          <w:pPr>
            <w:pStyle w:val="9"/>
            <w:tabs>
              <w:tab w:val="right" w:leader="dot" w:pos="8845"/>
            </w:tabs>
            <w:spacing w:line="360" w:lineRule="auto"/>
          </w:pPr>
          <w:r>
            <w:fldChar w:fldCharType="begin"/>
          </w:r>
          <w:r>
            <w:instrText xml:space="preserve"> HYPERLINK \l _Toc732858093 </w:instrText>
          </w:r>
          <w:r>
            <w:fldChar w:fldCharType="separate"/>
          </w:r>
          <w:r>
            <w:rPr>
              <w:rFonts w:hint="eastAsia" w:ascii="黑体" w:eastAsia="黑体"/>
              <w:szCs w:val="32"/>
            </w:rPr>
            <w:t>二、部门预算单位构成</w:t>
          </w:r>
          <w:r>
            <w:tab/>
          </w:r>
          <w:r>
            <w:fldChar w:fldCharType="begin"/>
          </w:r>
          <w:r>
            <w:instrText xml:space="preserve"> PAGEREF _Toc732858093 \h </w:instrText>
          </w:r>
          <w:r>
            <w:fldChar w:fldCharType="separate"/>
          </w:r>
          <w:r>
            <w:t>7</w:t>
          </w:r>
          <w:r>
            <w:fldChar w:fldCharType="end"/>
          </w:r>
          <w:r>
            <w:fldChar w:fldCharType="end"/>
          </w:r>
        </w:p>
        <w:p>
          <w:pPr>
            <w:pStyle w:val="9"/>
            <w:tabs>
              <w:tab w:val="right" w:leader="dot" w:pos="8845"/>
            </w:tabs>
            <w:spacing w:line="360" w:lineRule="auto"/>
          </w:pPr>
          <w:r>
            <w:fldChar w:fldCharType="begin"/>
          </w:r>
          <w:r>
            <w:instrText xml:space="preserve"> HYPERLINK \l _Toc2085180541 </w:instrText>
          </w:r>
          <w:r>
            <w:fldChar w:fldCharType="separate"/>
          </w:r>
          <w:r>
            <w:rPr>
              <w:rFonts w:hint="eastAsia" w:ascii="黑体" w:eastAsia="黑体"/>
              <w:szCs w:val="32"/>
            </w:rPr>
            <w:t>三、收支预算情况说明</w:t>
          </w:r>
          <w:r>
            <w:tab/>
          </w:r>
          <w:r>
            <w:fldChar w:fldCharType="begin"/>
          </w:r>
          <w:r>
            <w:instrText xml:space="preserve"> PAGEREF _Toc2085180541 \h </w:instrText>
          </w:r>
          <w:r>
            <w:fldChar w:fldCharType="separate"/>
          </w:r>
          <w:r>
            <w:t>7</w:t>
          </w:r>
          <w:r>
            <w:fldChar w:fldCharType="end"/>
          </w:r>
          <w:r>
            <w:fldChar w:fldCharType="end"/>
          </w:r>
        </w:p>
        <w:p>
          <w:pPr>
            <w:pStyle w:val="11"/>
            <w:tabs>
              <w:tab w:val="right" w:leader="dot" w:pos="8845"/>
            </w:tabs>
            <w:spacing w:line="360" w:lineRule="auto"/>
          </w:pPr>
          <w:r>
            <w:fldChar w:fldCharType="begin"/>
          </w:r>
          <w:r>
            <w:instrText xml:space="preserve"> HYPERLINK \l _Toc560883190 </w:instrText>
          </w:r>
          <w:r>
            <w:fldChar w:fldCharType="separate"/>
          </w:r>
          <w:r>
            <w:rPr>
              <w:rFonts w:hint="eastAsia"/>
            </w:rPr>
            <w:t>（一）收入预算情况</w:t>
          </w:r>
          <w:r>
            <w:tab/>
          </w:r>
          <w:r>
            <w:fldChar w:fldCharType="begin"/>
          </w:r>
          <w:r>
            <w:instrText xml:space="preserve"> PAGEREF _Toc560883190 \h </w:instrText>
          </w:r>
          <w:r>
            <w:fldChar w:fldCharType="separate"/>
          </w:r>
          <w:r>
            <w:t>7</w:t>
          </w:r>
          <w:r>
            <w:fldChar w:fldCharType="end"/>
          </w:r>
          <w:r>
            <w:fldChar w:fldCharType="end"/>
          </w:r>
        </w:p>
        <w:p>
          <w:pPr>
            <w:pStyle w:val="11"/>
            <w:tabs>
              <w:tab w:val="right" w:leader="dot" w:pos="8845"/>
            </w:tabs>
            <w:spacing w:line="360" w:lineRule="auto"/>
          </w:pPr>
          <w:r>
            <w:fldChar w:fldCharType="begin"/>
          </w:r>
          <w:r>
            <w:instrText xml:space="preserve"> HYPERLINK \l _Toc1428181775 </w:instrText>
          </w:r>
          <w:r>
            <w:fldChar w:fldCharType="separate"/>
          </w:r>
          <w:r>
            <w:rPr>
              <w:rFonts w:hint="eastAsia"/>
            </w:rPr>
            <w:t>（二）支出预算情况</w:t>
          </w:r>
          <w:r>
            <w:tab/>
          </w:r>
          <w:r>
            <w:fldChar w:fldCharType="begin"/>
          </w:r>
          <w:r>
            <w:instrText xml:space="preserve"> PAGEREF _Toc1428181775 \h </w:instrText>
          </w:r>
          <w:r>
            <w:fldChar w:fldCharType="separate"/>
          </w:r>
          <w:r>
            <w:t>7</w:t>
          </w:r>
          <w:r>
            <w:fldChar w:fldCharType="end"/>
          </w:r>
          <w:r>
            <w:fldChar w:fldCharType="end"/>
          </w:r>
        </w:p>
        <w:p>
          <w:pPr>
            <w:pStyle w:val="9"/>
            <w:tabs>
              <w:tab w:val="right" w:leader="dot" w:pos="8845"/>
            </w:tabs>
            <w:spacing w:line="360" w:lineRule="auto"/>
          </w:pPr>
          <w:r>
            <w:fldChar w:fldCharType="begin"/>
          </w:r>
          <w:r>
            <w:instrText xml:space="preserve"> HYPERLINK \l _Toc179598481 </w:instrText>
          </w:r>
          <w:r>
            <w:fldChar w:fldCharType="separate"/>
          </w:r>
          <w:r>
            <w:rPr>
              <w:rFonts w:hint="eastAsia" w:ascii="黑体" w:eastAsia="黑体"/>
              <w:szCs w:val="32"/>
            </w:rPr>
            <w:t>四、财政拨款收支预算情况说明</w:t>
          </w:r>
          <w:r>
            <w:tab/>
          </w:r>
          <w:r>
            <w:fldChar w:fldCharType="begin"/>
          </w:r>
          <w:r>
            <w:instrText xml:space="preserve"> PAGEREF _Toc179598481 \h </w:instrText>
          </w:r>
          <w:r>
            <w:fldChar w:fldCharType="separate"/>
          </w:r>
          <w:r>
            <w:t>7</w:t>
          </w:r>
          <w:r>
            <w:fldChar w:fldCharType="end"/>
          </w:r>
          <w:r>
            <w:fldChar w:fldCharType="end"/>
          </w:r>
        </w:p>
        <w:p>
          <w:pPr>
            <w:pStyle w:val="9"/>
            <w:tabs>
              <w:tab w:val="right" w:leader="dot" w:pos="8845"/>
            </w:tabs>
            <w:spacing w:line="360" w:lineRule="auto"/>
          </w:pPr>
          <w:r>
            <w:fldChar w:fldCharType="begin"/>
          </w:r>
          <w:r>
            <w:instrText xml:space="preserve"> HYPERLINK \l _Toc2099217840 </w:instrText>
          </w:r>
          <w:r>
            <w:fldChar w:fldCharType="separate"/>
          </w:r>
          <w:r>
            <w:rPr>
              <w:rFonts w:hint="eastAsia" w:ascii="黑体" w:eastAsia="黑体"/>
              <w:szCs w:val="32"/>
            </w:rPr>
            <w:t>五、一般公共预算当年拨款情况说明</w:t>
          </w:r>
          <w:r>
            <w:tab/>
          </w:r>
          <w:r>
            <w:fldChar w:fldCharType="begin"/>
          </w:r>
          <w:r>
            <w:instrText xml:space="preserve"> PAGEREF _Toc2099217840 \h </w:instrText>
          </w:r>
          <w:r>
            <w:fldChar w:fldCharType="separate"/>
          </w:r>
          <w:r>
            <w:t>8</w:t>
          </w:r>
          <w:r>
            <w:fldChar w:fldCharType="end"/>
          </w:r>
          <w:r>
            <w:fldChar w:fldCharType="end"/>
          </w:r>
        </w:p>
        <w:p>
          <w:pPr>
            <w:pStyle w:val="11"/>
            <w:tabs>
              <w:tab w:val="right" w:leader="dot" w:pos="8845"/>
            </w:tabs>
            <w:spacing w:line="360" w:lineRule="auto"/>
          </w:pPr>
          <w:r>
            <w:fldChar w:fldCharType="begin"/>
          </w:r>
          <w:r>
            <w:instrText xml:space="preserve"> HYPERLINK \l _Toc257016501 </w:instrText>
          </w:r>
          <w:r>
            <w:fldChar w:fldCharType="separate"/>
          </w:r>
          <w:r>
            <w:rPr>
              <w:rFonts w:hint="eastAsia"/>
            </w:rPr>
            <w:t>（一）一般公共预算当年拨款规模变化情况</w:t>
          </w:r>
          <w:r>
            <w:tab/>
          </w:r>
          <w:r>
            <w:fldChar w:fldCharType="begin"/>
          </w:r>
          <w:r>
            <w:instrText xml:space="preserve"> PAGEREF _Toc257016501 \h </w:instrText>
          </w:r>
          <w:r>
            <w:fldChar w:fldCharType="separate"/>
          </w:r>
          <w:r>
            <w:t>8</w:t>
          </w:r>
          <w:r>
            <w:fldChar w:fldCharType="end"/>
          </w:r>
          <w:r>
            <w:fldChar w:fldCharType="end"/>
          </w:r>
        </w:p>
        <w:p>
          <w:pPr>
            <w:pStyle w:val="11"/>
            <w:tabs>
              <w:tab w:val="right" w:leader="dot" w:pos="8845"/>
            </w:tabs>
            <w:spacing w:line="360" w:lineRule="auto"/>
          </w:pPr>
          <w:r>
            <w:fldChar w:fldCharType="begin"/>
          </w:r>
          <w:r>
            <w:instrText xml:space="preserve"> HYPERLINK \l _Toc958035941 </w:instrText>
          </w:r>
          <w:r>
            <w:fldChar w:fldCharType="separate"/>
          </w:r>
          <w:r>
            <w:rPr>
              <w:rFonts w:hint="eastAsia"/>
            </w:rPr>
            <w:t>（二）一般公共预算当年拨款结构情况</w:t>
          </w:r>
          <w:r>
            <w:tab/>
          </w:r>
          <w:r>
            <w:fldChar w:fldCharType="begin"/>
          </w:r>
          <w:r>
            <w:instrText xml:space="preserve"> PAGEREF _Toc958035941 \h </w:instrText>
          </w:r>
          <w:r>
            <w:fldChar w:fldCharType="separate"/>
          </w:r>
          <w:r>
            <w:t>8</w:t>
          </w:r>
          <w:r>
            <w:fldChar w:fldCharType="end"/>
          </w:r>
          <w:r>
            <w:fldChar w:fldCharType="end"/>
          </w:r>
        </w:p>
        <w:p>
          <w:pPr>
            <w:pStyle w:val="11"/>
            <w:tabs>
              <w:tab w:val="right" w:leader="dot" w:pos="8845"/>
            </w:tabs>
            <w:spacing w:line="360" w:lineRule="auto"/>
          </w:pPr>
          <w:r>
            <w:fldChar w:fldCharType="begin"/>
          </w:r>
          <w:r>
            <w:instrText xml:space="preserve"> HYPERLINK \l _Toc767036773 </w:instrText>
          </w:r>
          <w:r>
            <w:fldChar w:fldCharType="separate"/>
          </w:r>
          <w:r>
            <w:rPr>
              <w:rFonts w:hint="eastAsia"/>
            </w:rPr>
            <w:t>（三）一般公共预算当年拨款具体使用情况</w:t>
          </w:r>
          <w:r>
            <w:tab/>
          </w:r>
          <w:r>
            <w:fldChar w:fldCharType="begin"/>
          </w:r>
          <w:r>
            <w:instrText xml:space="preserve"> PAGEREF _Toc767036773 \h </w:instrText>
          </w:r>
          <w:r>
            <w:fldChar w:fldCharType="separate"/>
          </w:r>
          <w:r>
            <w:t>8</w:t>
          </w:r>
          <w:r>
            <w:fldChar w:fldCharType="end"/>
          </w:r>
          <w:r>
            <w:fldChar w:fldCharType="end"/>
          </w:r>
        </w:p>
        <w:p>
          <w:pPr>
            <w:pStyle w:val="9"/>
            <w:tabs>
              <w:tab w:val="right" w:leader="dot" w:pos="8845"/>
            </w:tabs>
            <w:spacing w:line="360" w:lineRule="auto"/>
          </w:pPr>
          <w:r>
            <w:fldChar w:fldCharType="begin"/>
          </w:r>
          <w:r>
            <w:instrText xml:space="preserve"> HYPERLINK \l _Toc351732332 </w:instrText>
          </w:r>
          <w:r>
            <w:fldChar w:fldCharType="separate"/>
          </w:r>
          <w:r>
            <w:rPr>
              <w:rFonts w:hint="eastAsia" w:ascii="黑体" w:eastAsia="黑体"/>
              <w:szCs w:val="32"/>
            </w:rPr>
            <w:t>六、一般公共预算基本支出情况说明</w:t>
          </w:r>
          <w:r>
            <w:tab/>
          </w:r>
          <w:r>
            <w:fldChar w:fldCharType="begin"/>
          </w:r>
          <w:r>
            <w:instrText xml:space="preserve"> PAGEREF _Toc351732332 \h </w:instrText>
          </w:r>
          <w:r>
            <w:fldChar w:fldCharType="separate"/>
          </w:r>
          <w:r>
            <w:t>10</w:t>
          </w:r>
          <w:r>
            <w:fldChar w:fldCharType="end"/>
          </w:r>
          <w:r>
            <w:fldChar w:fldCharType="end"/>
          </w:r>
        </w:p>
        <w:p>
          <w:pPr>
            <w:pStyle w:val="9"/>
            <w:tabs>
              <w:tab w:val="right" w:leader="dot" w:pos="8845"/>
            </w:tabs>
            <w:spacing w:line="360" w:lineRule="auto"/>
          </w:pPr>
          <w:r>
            <w:fldChar w:fldCharType="begin"/>
          </w:r>
          <w:r>
            <w:instrText xml:space="preserve"> HYPERLINK \l _Toc973560706 </w:instrText>
          </w:r>
          <w:r>
            <w:fldChar w:fldCharType="separate"/>
          </w:r>
          <w:r>
            <w:rPr>
              <w:rFonts w:hint="eastAsia" w:ascii="黑体" w:eastAsia="黑体"/>
              <w:szCs w:val="32"/>
            </w:rPr>
            <w:t>七、“三公”经费财政拨款预算安排情况说明</w:t>
          </w:r>
          <w:r>
            <w:tab/>
          </w:r>
          <w:r>
            <w:fldChar w:fldCharType="begin"/>
          </w:r>
          <w:r>
            <w:instrText xml:space="preserve"> PAGEREF _Toc973560706 \h </w:instrText>
          </w:r>
          <w:r>
            <w:fldChar w:fldCharType="separate"/>
          </w:r>
          <w:r>
            <w:t>10</w:t>
          </w:r>
          <w:r>
            <w:fldChar w:fldCharType="end"/>
          </w:r>
          <w:r>
            <w:fldChar w:fldCharType="end"/>
          </w:r>
        </w:p>
        <w:p>
          <w:pPr>
            <w:pStyle w:val="11"/>
            <w:tabs>
              <w:tab w:val="right" w:leader="dot" w:pos="8845"/>
            </w:tabs>
            <w:spacing w:line="360" w:lineRule="auto"/>
          </w:pPr>
          <w:r>
            <w:fldChar w:fldCharType="begin"/>
          </w:r>
          <w:r>
            <w:instrText xml:space="preserve"> HYPERLINK \l _Toc88010272 </w:instrText>
          </w:r>
          <w:r>
            <w:fldChar w:fldCharType="separate"/>
          </w:r>
          <w:r>
            <w:rPr>
              <w:rFonts w:hint="eastAsia"/>
            </w:rPr>
            <w:t>（一）公务接待费</w:t>
          </w:r>
          <w:r>
            <w:tab/>
          </w:r>
          <w:r>
            <w:fldChar w:fldCharType="begin"/>
          </w:r>
          <w:r>
            <w:instrText xml:space="preserve"> PAGEREF _Toc88010272 \h </w:instrText>
          </w:r>
          <w:r>
            <w:fldChar w:fldCharType="separate"/>
          </w:r>
          <w:r>
            <w:t>10</w:t>
          </w:r>
          <w:r>
            <w:fldChar w:fldCharType="end"/>
          </w:r>
          <w:r>
            <w:fldChar w:fldCharType="end"/>
          </w:r>
        </w:p>
        <w:p>
          <w:pPr>
            <w:pStyle w:val="11"/>
            <w:tabs>
              <w:tab w:val="right" w:leader="dot" w:pos="8845"/>
            </w:tabs>
            <w:spacing w:line="360" w:lineRule="auto"/>
          </w:pPr>
          <w:r>
            <w:fldChar w:fldCharType="begin"/>
          </w:r>
          <w:r>
            <w:instrText xml:space="preserve"> HYPERLINK \l _Toc1382045435 </w:instrText>
          </w:r>
          <w:r>
            <w:fldChar w:fldCharType="separate"/>
          </w:r>
          <w:r>
            <w:rPr>
              <w:rFonts w:hint="default"/>
            </w:rPr>
            <w:t>（二）</w:t>
          </w:r>
          <w:r>
            <w:rPr>
              <w:rFonts w:hint="eastAsia"/>
            </w:rPr>
            <w:t>公务用车购置及运行维护费</w:t>
          </w:r>
          <w:r>
            <w:tab/>
          </w:r>
          <w:r>
            <w:fldChar w:fldCharType="begin"/>
          </w:r>
          <w:r>
            <w:instrText xml:space="preserve"> PAGEREF _Toc1382045435 \h </w:instrText>
          </w:r>
          <w:r>
            <w:fldChar w:fldCharType="separate"/>
          </w:r>
          <w:r>
            <w:t>11</w:t>
          </w:r>
          <w:r>
            <w:fldChar w:fldCharType="end"/>
          </w:r>
          <w:r>
            <w:fldChar w:fldCharType="end"/>
          </w:r>
        </w:p>
        <w:p>
          <w:pPr>
            <w:pStyle w:val="11"/>
            <w:tabs>
              <w:tab w:val="right" w:leader="dot" w:pos="8845"/>
            </w:tabs>
            <w:spacing w:line="360" w:lineRule="auto"/>
          </w:pPr>
          <w:r>
            <w:fldChar w:fldCharType="begin"/>
          </w:r>
          <w:r>
            <w:instrText xml:space="preserve"> HYPERLINK \l _Toc1362107545 </w:instrText>
          </w:r>
          <w:r>
            <w:fldChar w:fldCharType="separate"/>
          </w:r>
          <w:r>
            <w:rPr>
              <w:rFonts w:hint="eastAsia"/>
              <w:lang w:val="en-US" w:eastAsia="zh-CN"/>
            </w:rPr>
            <w:t>（三）因公出国（境）经费</w:t>
          </w:r>
          <w:r>
            <w:tab/>
          </w:r>
          <w:r>
            <w:fldChar w:fldCharType="begin"/>
          </w:r>
          <w:r>
            <w:instrText xml:space="preserve"> PAGEREF _Toc1362107545 \h </w:instrText>
          </w:r>
          <w:r>
            <w:fldChar w:fldCharType="separate"/>
          </w:r>
          <w:r>
            <w:t>11</w:t>
          </w:r>
          <w:r>
            <w:fldChar w:fldCharType="end"/>
          </w:r>
          <w:r>
            <w:fldChar w:fldCharType="end"/>
          </w:r>
        </w:p>
        <w:p>
          <w:pPr>
            <w:pStyle w:val="9"/>
            <w:tabs>
              <w:tab w:val="right" w:leader="dot" w:pos="8845"/>
            </w:tabs>
            <w:spacing w:line="360" w:lineRule="auto"/>
          </w:pPr>
          <w:r>
            <w:fldChar w:fldCharType="begin"/>
          </w:r>
          <w:r>
            <w:instrText xml:space="preserve"> HYPERLINK \l _Toc1795816512 </w:instrText>
          </w:r>
          <w:r>
            <w:fldChar w:fldCharType="separate"/>
          </w:r>
          <w:r>
            <w:rPr>
              <w:rFonts w:hint="eastAsia" w:ascii="黑体" w:eastAsia="黑体"/>
              <w:szCs w:val="32"/>
            </w:rPr>
            <w:t>八、政府性基金预算支出情况说明</w:t>
          </w:r>
          <w:r>
            <w:tab/>
          </w:r>
          <w:r>
            <w:fldChar w:fldCharType="begin"/>
          </w:r>
          <w:r>
            <w:instrText xml:space="preserve"> PAGEREF _Toc1795816512 \h </w:instrText>
          </w:r>
          <w:r>
            <w:fldChar w:fldCharType="separate"/>
          </w:r>
          <w:r>
            <w:t>11</w:t>
          </w:r>
          <w:r>
            <w:fldChar w:fldCharType="end"/>
          </w:r>
          <w:r>
            <w:fldChar w:fldCharType="end"/>
          </w:r>
        </w:p>
        <w:p>
          <w:pPr>
            <w:pStyle w:val="9"/>
            <w:tabs>
              <w:tab w:val="right" w:leader="dot" w:pos="8845"/>
            </w:tabs>
            <w:spacing w:line="360" w:lineRule="auto"/>
          </w:pPr>
          <w:r>
            <w:fldChar w:fldCharType="begin"/>
          </w:r>
          <w:r>
            <w:instrText xml:space="preserve"> HYPERLINK \l _Toc1822345913 </w:instrText>
          </w:r>
          <w:r>
            <w:fldChar w:fldCharType="separate"/>
          </w:r>
          <w:r>
            <w:rPr>
              <w:rFonts w:hint="eastAsia" w:ascii="黑体" w:eastAsia="黑体"/>
              <w:szCs w:val="32"/>
            </w:rPr>
            <w:t>九、国有资本经营预算支出情况说明</w:t>
          </w:r>
          <w:r>
            <w:tab/>
          </w:r>
          <w:r>
            <w:fldChar w:fldCharType="begin"/>
          </w:r>
          <w:r>
            <w:instrText xml:space="preserve"> PAGEREF _Toc1822345913 \h </w:instrText>
          </w:r>
          <w:r>
            <w:fldChar w:fldCharType="separate"/>
          </w:r>
          <w:r>
            <w:t>11</w:t>
          </w:r>
          <w:r>
            <w:fldChar w:fldCharType="end"/>
          </w:r>
          <w:r>
            <w:fldChar w:fldCharType="end"/>
          </w:r>
        </w:p>
        <w:p>
          <w:pPr>
            <w:pStyle w:val="9"/>
            <w:tabs>
              <w:tab w:val="right" w:leader="dot" w:pos="8845"/>
            </w:tabs>
            <w:spacing w:line="360" w:lineRule="auto"/>
          </w:pPr>
          <w:r>
            <w:fldChar w:fldCharType="begin"/>
          </w:r>
          <w:r>
            <w:instrText xml:space="preserve"> HYPERLINK \l _Toc74573121 </w:instrText>
          </w:r>
          <w:r>
            <w:fldChar w:fldCharType="separate"/>
          </w:r>
          <w:r>
            <w:rPr>
              <w:rFonts w:hint="eastAsia" w:ascii="黑体" w:eastAsia="黑体"/>
              <w:szCs w:val="32"/>
            </w:rPr>
            <w:t>十、其他重要事项的情况说明</w:t>
          </w:r>
          <w:r>
            <w:tab/>
          </w:r>
          <w:r>
            <w:fldChar w:fldCharType="begin"/>
          </w:r>
          <w:r>
            <w:instrText xml:space="preserve"> PAGEREF _Toc74573121 \h </w:instrText>
          </w:r>
          <w:r>
            <w:fldChar w:fldCharType="separate"/>
          </w:r>
          <w:r>
            <w:t>11</w:t>
          </w:r>
          <w:r>
            <w:fldChar w:fldCharType="end"/>
          </w:r>
          <w:r>
            <w:fldChar w:fldCharType="end"/>
          </w:r>
        </w:p>
        <w:p>
          <w:pPr>
            <w:pStyle w:val="11"/>
            <w:tabs>
              <w:tab w:val="right" w:leader="dot" w:pos="8845"/>
            </w:tabs>
            <w:spacing w:line="360" w:lineRule="auto"/>
          </w:pPr>
          <w:r>
            <w:fldChar w:fldCharType="begin"/>
          </w:r>
          <w:r>
            <w:instrText xml:space="preserve"> HYPERLINK \l _Toc1100628290 </w:instrText>
          </w:r>
          <w:r>
            <w:fldChar w:fldCharType="separate"/>
          </w:r>
          <w:r>
            <w:rPr>
              <w:rFonts w:hint="eastAsia"/>
            </w:rPr>
            <w:t>（一）机关运行经费</w:t>
          </w:r>
          <w:r>
            <w:tab/>
          </w:r>
          <w:r>
            <w:fldChar w:fldCharType="begin"/>
          </w:r>
          <w:r>
            <w:instrText xml:space="preserve"> PAGEREF _Toc1100628290 \h </w:instrText>
          </w:r>
          <w:r>
            <w:fldChar w:fldCharType="separate"/>
          </w:r>
          <w:r>
            <w:t>11</w:t>
          </w:r>
          <w:r>
            <w:fldChar w:fldCharType="end"/>
          </w:r>
          <w:r>
            <w:fldChar w:fldCharType="end"/>
          </w:r>
        </w:p>
        <w:p>
          <w:pPr>
            <w:pStyle w:val="11"/>
            <w:tabs>
              <w:tab w:val="right" w:leader="dot" w:pos="8845"/>
            </w:tabs>
            <w:spacing w:line="360" w:lineRule="auto"/>
          </w:pPr>
          <w:r>
            <w:fldChar w:fldCharType="begin"/>
          </w:r>
          <w:r>
            <w:instrText xml:space="preserve"> HYPERLINK \l _Toc621200812 </w:instrText>
          </w:r>
          <w:r>
            <w:fldChar w:fldCharType="separate"/>
          </w:r>
          <w:r>
            <w:rPr>
              <w:rFonts w:hint="eastAsia"/>
              <w:lang w:val="en-US" w:eastAsia="zh-CN"/>
            </w:rPr>
            <w:t>（二）政府采购情况</w:t>
          </w:r>
          <w:r>
            <w:tab/>
          </w:r>
          <w:r>
            <w:fldChar w:fldCharType="begin"/>
          </w:r>
          <w:r>
            <w:instrText xml:space="preserve"> PAGEREF _Toc621200812 \h </w:instrText>
          </w:r>
          <w:r>
            <w:fldChar w:fldCharType="separate"/>
          </w:r>
          <w:r>
            <w:t>12</w:t>
          </w:r>
          <w:r>
            <w:fldChar w:fldCharType="end"/>
          </w:r>
          <w:r>
            <w:fldChar w:fldCharType="end"/>
          </w:r>
        </w:p>
        <w:p>
          <w:pPr>
            <w:pStyle w:val="11"/>
            <w:tabs>
              <w:tab w:val="right" w:leader="dot" w:pos="8845"/>
            </w:tabs>
            <w:spacing w:line="360" w:lineRule="auto"/>
          </w:pPr>
          <w:r>
            <w:fldChar w:fldCharType="begin"/>
          </w:r>
          <w:r>
            <w:instrText xml:space="preserve"> HYPERLINK \l _Toc647557465 </w:instrText>
          </w:r>
          <w:r>
            <w:fldChar w:fldCharType="separate"/>
          </w:r>
          <w:r>
            <w:rPr>
              <w:rFonts w:hint="eastAsia"/>
              <w:lang w:val="en-US" w:eastAsia="zh-CN"/>
            </w:rPr>
            <w:t>（三）国有资产占有使用情况</w:t>
          </w:r>
          <w:r>
            <w:tab/>
          </w:r>
          <w:r>
            <w:fldChar w:fldCharType="begin"/>
          </w:r>
          <w:r>
            <w:instrText xml:space="preserve"> PAGEREF _Toc647557465 \h </w:instrText>
          </w:r>
          <w:r>
            <w:fldChar w:fldCharType="separate"/>
          </w:r>
          <w:r>
            <w:t>12</w:t>
          </w:r>
          <w:r>
            <w:fldChar w:fldCharType="end"/>
          </w:r>
          <w:r>
            <w:fldChar w:fldCharType="end"/>
          </w:r>
        </w:p>
        <w:p>
          <w:pPr>
            <w:pStyle w:val="11"/>
            <w:tabs>
              <w:tab w:val="right" w:leader="dot" w:pos="8845"/>
            </w:tabs>
            <w:spacing w:line="360" w:lineRule="auto"/>
          </w:pPr>
          <w:r>
            <w:fldChar w:fldCharType="begin"/>
          </w:r>
          <w:r>
            <w:instrText xml:space="preserve"> HYPERLINK \l _Toc544883565 </w:instrText>
          </w:r>
          <w:r>
            <w:fldChar w:fldCharType="separate"/>
          </w:r>
          <w:r>
            <w:rPr>
              <w:rFonts w:hint="eastAsia"/>
              <w:lang w:val="en-US" w:eastAsia="zh-CN"/>
            </w:rPr>
            <w:t>（四）绩效目标设置情况</w:t>
          </w:r>
          <w:r>
            <w:tab/>
          </w:r>
          <w:r>
            <w:fldChar w:fldCharType="begin"/>
          </w:r>
          <w:r>
            <w:instrText xml:space="preserve"> PAGEREF _Toc544883565 \h </w:instrText>
          </w:r>
          <w:r>
            <w:fldChar w:fldCharType="separate"/>
          </w:r>
          <w:r>
            <w:t>12</w:t>
          </w:r>
          <w:r>
            <w:fldChar w:fldCharType="end"/>
          </w:r>
          <w:r>
            <w:fldChar w:fldCharType="end"/>
          </w:r>
        </w:p>
        <w:p>
          <w:pPr>
            <w:pStyle w:val="9"/>
            <w:tabs>
              <w:tab w:val="right" w:leader="dot" w:pos="8845"/>
            </w:tabs>
            <w:spacing w:line="360" w:lineRule="auto"/>
          </w:pPr>
          <w:r>
            <w:fldChar w:fldCharType="begin"/>
          </w:r>
          <w:r>
            <w:instrText xml:space="preserve"> HYPERLINK \l _Toc1955634492 </w:instrText>
          </w:r>
          <w:r>
            <w:fldChar w:fldCharType="separate"/>
          </w:r>
          <w:r>
            <w:rPr>
              <w:rFonts w:hint="eastAsia" w:ascii="黑体" w:eastAsia="黑体"/>
              <w:szCs w:val="32"/>
            </w:rPr>
            <w:t>十一、名词解释</w:t>
          </w:r>
          <w:r>
            <w:tab/>
          </w:r>
          <w:r>
            <w:fldChar w:fldCharType="begin"/>
          </w:r>
          <w:r>
            <w:instrText xml:space="preserve"> PAGEREF _Toc1955634492 \h </w:instrText>
          </w:r>
          <w:r>
            <w:fldChar w:fldCharType="separate"/>
          </w:r>
          <w:r>
            <w:t>12</w:t>
          </w:r>
          <w:r>
            <w:fldChar w:fldCharType="end"/>
          </w:r>
          <w:r>
            <w:fldChar w:fldCharType="end"/>
          </w:r>
        </w:p>
        <w:p>
          <w:pPr>
            <w:spacing w:line="360" w:lineRule="auto"/>
          </w:pPr>
          <w:r>
            <w:fldChar w:fldCharType="end"/>
          </w:r>
        </w:p>
        <w:p>
          <w:pPr>
            <w:spacing w:line="360" w:lineRule="auto"/>
            <w:jc w:val="center"/>
            <w:rPr>
              <w:rFonts w:hint="eastAsia" w:ascii="黑体" w:hAnsi="黑体" w:eastAsia="黑体" w:cs="黑体"/>
              <w:color w:val="000000" w:themeColor="text1"/>
              <w:kern w:val="0"/>
              <w:sz w:val="21"/>
              <w:szCs w:val="32"/>
              <w:shd w:val="clear" w:color="auto" w:fill="FFFFFF"/>
              <w:lang w:val="en-US" w:eastAsia="zh-CN" w:bidi="ar-SA"/>
            </w:rPr>
          </w:pPr>
        </w:p>
      </w:sdtContent>
    </w:sdt>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79" w:name="_GoBack"/>
      <w:bookmarkStart w:id="0" w:name="_Toc63491001"/>
      <w:bookmarkStart w:id="1" w:name="_Toc158021354"/>
      <w:bookmarkStart w:id="2" w:name="_Toc1491539436"/>
      <w:bookmarkStart w:id="3" w:name="_Toc1096937146"/>
      <w:r>
        <w:rPr>
          <w:rFonts w:hint="eastAsia" w:ascii="黑体" w:eastAsia="黑体"/>
          <w:b w:val="0"/>
          <w:sz w:val="32"/>
          <w:szCs w:val="32"/>
        </w:rPr>
        <w:t>一、基本职能及主要工作</w:t>
      </w:r>
      <w:bookmarkEnd w:id="0"/>
      <w:bookmarkEnd w:id="1"/>
      <w:bookmarkEnd w:id="2"/>
      <w:bookmarkEnd w:id="3"/>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4" w:name="_Toc158021355"/>
      <w:bookmarkStart w:id="5" w:name="_Toc837645002"/>
      <w:bookmarkStart w:id="6" w:name="_Toc180796848"/>
      <w:bookmarkStart w:id="7" w:name="_Toc622200408"/>
      <w:r>
        <w:rPr>
          <w:rFonts w:hint="eastAsia"/>
        </w:rPr>
        <w:t>（一）单位职能简介</w:t>
      </w:r>
      <w:bookmarkEnd w:id="4"/>
      <w:bookmarkEnd w:id="5"/>
      <w:bookmarkEnd w:id="6"/>
      <w:bookmarkEnd w:id="7"/>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1.负责经开区市场监督管理工作。组织实施质量强区、食品安全、标准化和知识产权战略，拟订并组织实施全区食品、药品安全等规划，规范和维护市场秩序，营造诚实守信、公平竞争的市场环境。</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负责全区市场主体统一登记注册。负责全区各类企业、农民专业合作社和从事经营活动的单位、个体工商户等市场主体的登记注册和监督管理工作。建立市场主体信息公示和共享机制，依法公示和共享有关信息，加强信用监管，推动市场主体信用体系建设。</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3.负责组织全区市场监管综合执法工作。规范市场交易执法行为。组织查处各类违反市场监管法律法规的案件。</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负责监督管理全区市场经济秩序。依法监督管理市场交易，网络商品交易及有关服务的行为。组织查处价格收费违法违规、不正当竞争、违法直销、传销、侵犯商标专利知识产权和制售假冒伪劣行为。指导广告业发展，监督管理广告活动。依法查处无照生产经营和相关无证生产经营行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5.负责全区宏观质量管理。拟订并实施质量发展的制度措施。会同有关部门组织实施重大工程设备质量监理制度，组织重大质量事故调查，贯彻实施缺陷产品召回制度，监督管理产品防伪工作。</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6.负责全区产品质量安全监督管理。负责产品质量监督抽检和安全风险监控工作，组织实施质量分级制度、质量安全追溯制度。负责纤维质量监督工作。</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7.负责全区特种设备安全监督管理。综合管理特种设备安全监察、监督工作，监督检查高耗能特种设备节能标准和锅炉产品环境保护标准的执行情况。</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负责全区食品安全监督管理综合协调。统筹指导全区食品安全工作。负责食品安全应急体系建设，组织指导重大食品安全事件应急处置和调查处理工作。建立健全食品安全重要信息直报制度。承担区食品安全委员会日常工作。</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9.负责全区食品安全监督管理。建立覆盖食品生产、流通、消费全过程的监督检查制度和隐患排查治理机制并组织实施，防范区域性、系统性食品安全风险。负责食品经营许可。推动建立食品生产经营者落实主体责任的机制，健全食品安全追溯体系。指导督促食品生产经营企业的安全生产工作，组织开展食品安全监督抽检、风险监测、核查处置和风险预警、风险交流工作。</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10.负责统一管理全区计量工作。推行法定计量单位，执行国家计量制度，管理计量器具及量值传递和比对工作。规范、监督商品量和市场计量行为。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11.协助市局统一管理全区标准化工作。依法承担本级地方性标准的立项、编号发布工作。依法对标准制定和实施情况开展监督。</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12.协助市局统一管理全区检验检测工作。规范检验检测市场，完善检验检测体系，指导协调检验检测行业发展。</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13.协助市局统一管理全区认证认可工作。监督管理认证认可和合格评定工作。</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14.协助市局开展全区市场监督管理科技和信息化建设、新闻宣传。</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15.贯彻执行国家有关药品、医疗器械和化妆品监督管理的方针政策和法律法规。</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16.依职责监督和指导实施药品、医疗器械经营、使用质量管理规范，监督实施标准和技术规范。负责全区药品、医疗器械和化妆品上市后风险管理。组织开展药品不良反应、医疗器械不良事件和化妆品不良反应的监测工作。依法承担药品、医疗器械和化妆品安全应急管理和投诉举报处置工作。</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8" w:name="_Toc158021356"/>
      <w:bookmarkStart w:id="9" w:name="_Toc922802584"/>
      <w:bookmarkStart w:id="10" w:name="_Toc155955263"/>
      <w:bookmarkStart w:id="11" w:name="_Toc1097218571"/>
      <w:r>
        <w:rPr>
          <w:rFonts w:hint="eastAsia"/>
        </w:rPr>
        <w:t>（二）单位2024年重点工作</w:t>
      </w:r>
      <w:bookmarkEnd w:id="8"/>
      <w:bookmarkEnd w:id="9"/>
      <w:bookmarkEnd w:id="10"/>
      <w:bookmarkEnd w:id="11"/>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聚焦省市场监督管理局与广元市战略合作协议，扎实推动质量强市建设、</w:t>
      </w:r>
      <w:r>
        <w:rPr>
          <w:rFonts w:ascii="仿宋_GB2312" w:hAnsi="仿宋_GB2312" w:eastAsia="仿宋_GB2312" w:cs="仿宋_GB2312"/>
          <w:sz w:val="32"/>
          <w:szCs w:val="32"/>
        </w:rPr>
        <w:t>食品安全监管</w:t>
      </w:r>
      <w:r>
        <w:rPr>
          <w:rFonts w:hint="eastAsia" w:ascii="仿宋_GB2312" w:hAnsi="仿宋_GB2312" w:eastAsia="仿宋_GB2312" w:cs="仿宋_GB2312"/>
          <w:sz w:val="32"/>
          <w:szCs w:val="32"/>
        </w:rPr>
        <w:t>、生物医药产业发展、建设省级质检中心、知识产权保护利用、有机产品认证、川陕甘结合部省际协作等合作事项落到实处、取得成效，推动广元市场监管工作取得新成效。</w:t>
      </w:r>
    </w:p>
    <w:p>
      <w:pPr>
        <w:pStyle w:val="19"/>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Chars="0"/>
        <w:jc w:val="both"/>
        <w:textAlignment w:val="auto"/>
        <w:rPr>
          <w:rFonts w:ascii="楷体_GB2312" w:eastAsia="楷体_GB2312" w:cs="楷体_GB2312"/>
          <w:bCs/>
          <w:kern w:val="21"/>
          <w:sz w:val="32"/>
          <w:szCs w:val="32"/>
        </w:rPr>
      </w:pPr>
      <w:r>
        <w:rPr>
          <w:rFonts w:hint="eastAsia" w:ascii="楷体_GB2312" w:eastAsia="楷体_GB2312" w:cs="楷体_GB2312"/>
          <w:bCs/>
          <w:kern w:val="21"/>
          <w:sz w:val="32"/>
          <w:szCs w:val="32"/>
        </w:rPr>
        <w:t>坚定不移强监管守底线</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以创建国家食品安全示范城市为主线，大力推进落实食品安全“两个责任”，持续推进“穿透式”“沙盒式”监管，强化食品全过程监管。认真抓好药品流通使用、麻精药品、疫情防控药械专项检查，推动昭化茯苓352工程和天麻GAP示范建设。持续开展工业产品生产许可证后监督检查。不断提升特种设备“智慧监管平台”运用能力，推行电梯维保备案单位信用分类分级监管。</w:t>
      </w:r>
    </w:p>
    <w:p>
      <w:pPr>
        <w:pStyle w:val="19"/>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Chars="0"/>
        <w:jc w:val="both"/>
        <w:textAlignment w:val="auto"/>
        <w:rPr>
          <w:rFonts w:ascii="楷体_GB2312" w:eastAsia="楷体_GB2312" w:cs="楷体_GB2312"/>
          <w:kern w:val="21"/>
          <w:sz w:val="32"/>
          <w:szCs w:val="32"/>
        </w:rPr>
      </w:pPr>
      <w:r>
        <w:rPr>
          <w:rFonts w:hint="eastAsia" w:ascii="楷体_GB2312" w:eastAsia="楷体_GB2312" w:cs="楷体_GB2312"/>
          <w:kern w:val="21"/>
          <w:sz w:val="32"/>
          <w:szCs w:val="32"/>
        </w:rPr>
        <w:t>坚定不移抓服务促发展</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持续优化市场准入、退出服务，继续做好“双随机、一公开”监管工作。持续完善公平竞争审查预警制度，强化反垄断和反不正当竞争、价格、广告等监管，实施包容审慎监管，推广行政处罚裁量积分制试点，降低企业成本。持续开展质量提升行动，推动“揭榜挂帅”项目，推进质量基础“一站式”服务，筹建省级铝基新材料质量监督检验中心，完成电动汽车充电桩检定工作，培育企业标准“领跑者”、商会团体标准“领先者”。强化知识产权试点示范和优势企业培育，推进利州区国家知识产权强县工程试点县（区）创建和“七佛贡茶”省级地理标志产品保护示范区申报工作。</w:t>
      </w:r>
    </w:p>
    <w:p>
      <w:pPr>
        <w:pStyle w:val="19"/>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Chars="0"/>
        <w:jc w:val="both"/>
        <w:textAlignment w:val="auto"/>
        <w:rPr>
          <w:rFonts w:ascii="楷体_GB2312" w:eastAsia="楷体_GB2312" w:cs="楷体_GB2312"/>
          <w:bCs/>
          <w:kern w:val="21"/>
          <w:sz w:val="32"/>
          <w:szCs w:val="32"/>
        </w:rPr>
      </w:pPr>
      <w:r>
        <w:rPr>
          <w:rFonts w:hint="eastAsia" w:ascii="楷体_GB2312" w:eastAsia="楷体_GB2312" w:cs="楷体_GB2312"/>
          <w:bCs/>
          <w:kern w:val="21"/>
          <w:sz w:val="32"/>
          <w:szCs w:val="32"/>
        </w:rPr>
        <w:t>坚定不移强素质树形象</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立足全市基层市场监管实际，聚焦“县级局”和“基层所”两个层面，抓紧推进基层市场监管局（所）标准化规范化建设，积极做好达标验收和等级评定工作。持续推动行风教育和主题教育、大兴调查研究、创先争优和党风廉政建设相结合，坚持不懈加强自身建设，提升破解市场监管难题的路径方法，着力打造信念坚定、本领过硬、监管为民、廉洁高效的市场监管执法铁军。</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12" w:name="_Toc1278151167"/>
      <w:bookmarkStart w:id="13" w:name="_Toc1408375707"/>
      <w:bookmarkStart w:id="14" w:name="_Toc158021357"/>
      <w:bookmarkStart w:id="15" w:name="_Toc732858093"/>
      <w:r>
        <w:rPr>
          <w:rFonts w:hint="eastAsia" w:ascii="黑体" w:eastAsia="黑体"/>
          <w:b w:val="0"/>
          <w:sz w:val="32"/>
          <w:szCs w:val="32"/>
        </w:rPr>
        <w:t>二、部门预算单位构成</w:t>
      </w:r>
      <w:bookmarkEnd w:id="12"/>
      <w:bookmarkEnd w:id="13"/>
      <w:bookmarkEnd w:id="14"/>
      <w:bookmarkEnd w:id="15"/>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我单位为广元市市场监督管理局的下属二级预算单位，内设办公室、财务股、食药股、质监股、主体股、综合股，下设下西、盘龙、石龙市场监督管理所。</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16" w:name="_Toc158021358"/>
      <w:bookmarkStart w:id="17" w:name="_Toc636701617"/>
      <w:bookmarkStart w:id="18" w:name="_Toc2085180541"/>
      <w:bookmarkStart w:id="19" w:name="_Toc1337174641"/>
      <w:r>
        <w:rPr>
          <w:rFonts w:hint="eastAsia" w:ascii="黑体" w:eastAsia="黑体"/>
          <w:b w:val="0"/>
          <w:sz w:val="32"/>
          <w:szCs w:val="32"/>
        </w:rPr>
        <w:t>三、收支预算情况说明</w:t>
      </w:r>
      <w:bookmarkEnd w:id="16"/>
      <w:bookmarkEnd w:id="17"/>
      <w:bookmarkEnd w:id="18"/>
      <w:bookmarkEnd w:id="19"/>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市场监督管理局广元经开区分局所有收入和支出均纳入部门预算管理。收入包括：一般公共预算拨款收入；支出包括：一般公共服务支出、社会保障和就业支出、卫生健康支出、住房保障支出。广元市市场监督管理局广元经开区分局2024年收支预算总数301.29万元,比2023年收支预算总数减少28万元，主要原因是有2名人员调出，人员经费预算减少。</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20" w:name="_Toc560883190"/>
      <w:bookmarkStart w:id="21" w:name="_Toc960611081"/>
      <w:bookmarkStart w:id="22" w:name="_Toc158021359"/>
      <w:bookmarkStart w:id="23" w:name="_Toc975926520"/>
      <w:r>
        <w:rPr>
          <w:rFonts w:hint="eastAsia"/>
        </w:rPr>
        <w:t>（一）收入预算情况</w:t>
      </w:r>
      <w:bookmarkEnd w:id="20"/>
      <w:bookmarkEnd w:id="21"/>
      <w:bookmarkEnd w:id="22"/>
      <w:bookmarkEnd w:id="23"/>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广元市市场监督管理局广元经开区分局2024年收入预算301.29万元，其中：一般公共预算拨款收入301.29万元，占100%。</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24" w:name="_Toc1872054528"/>
      <w:bookmarkStart w:id="25" w:name="_Toc381639186"/>
      <w:bookmarkStart w:id="26" w:name="_Toc158021360"/>
      <w:bookmarkStart w:id="27" w:name="_Toc1428181775"/>
      <w:r>
        <w:rPr>
          <w:rFonts w:hint="eastAsia"/>
        </w:rPr>
        <w:t>（二）支出预算情况</w:t>
      </w:r>
      <w:bookmarkEnd w:id="24"/>
      <w:bookmarkEnd w:id="25"/>
      <w:bookmarkEnd w:id="26"/>
      <w:bookmarkEnd w:id="27"/>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广元市市场监督管理局广元经开区分局2024年支出预算301.29万元，其中：基本支出271.77万元，占90.20%；项目支出29.52万元，占9.80%。</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28" w:name="_Toc1341061516"/>
      <w:bookmarkStart w:id="29" w:name="_Toc158021361"/>
      <w:bookmarkStart w:id="30" w:name="_Toc1533951662"/>
      <w:bookmarkStart w:id="31" w:name="_Toc179598481"/>
      <w:r>
        <w:rPr>
          <w:rFonts w:hint="eastAsia" w:ascii="黑体" w:eastAsia="黑体"/>
          <w:b w:val="0"/>
          <w:sz w:val="32"/>
          <w:szCs w:val="32"/>
        </w:rPr>
        <w:t>四、财政拨款收支预算情况说明</w:t>
      </w:r>
      <w:bookmarkEnd w:id="28"/>
      <w:bookmarkEnd w:id="29"/>
      <w:bookmarkEnd w:id="30"/>
      <w:bookmarkEnd w:id="31"/>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广元市市场监督管理局广元经开区分局2024年财政拨款收支预算总数301.29万元,比2023年财政拨款收支预算总数减少28万元，主要原因是有2名人员调出，人员经费预算减少。</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收入包括：本年一般公共预算拨款收入301.29万元；支出包括：一般公共服务支出247.10万元、社会保障和就业支出24.92万元、卫生健康支出8.23万元、住房保障支出21.04万元。</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32" w:name="_Toc158021362"/>
      <w:bookmarkStart w:id="33" w:name="_Toc2099217840"/>
      <w:bookmarkStart w:id="34" w:name="_Toc1081558316"/>
      <w:bookmarkStart w:id="35" w:name="_Toc420009799"/>
      <w:r>
        <w:rPr>
          <w:rFonts w:hint="eastAsia" w:ascii="黑体" w:eastAsia="黑体"/>
          <w:b w:val="0"/>
          <w:sz w:val="32"/>
          <w:szCs w:val="32"/>
        </w:rPr>
        <w:t>五、一般公共预算当年拨款情况说明</w:t>
      </w:r>
      <w:bookmarkEnd w:id="32"/>
      <w:bookmarkEnd w:id="33"/>
      <w:bookmarkEnd w:id="34"/>
      <w:bookmarkEnd w:id="35"/>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36" w:name="_Toc661433523"/>
      <w:bookmarkStart w:id="37" w:name="_Toc257016501"/>
      <w:bookmarkStart w:id="38" w:name="_Toc2052499018"/>
      <w:bookmarkStart w:id="39" w:name="_Toc158021363"/>
      <w:r>
        <w:rPr>
          <w:rFonts w:hint="eastAsia"/>
        </w:rPr>
        <w:t>（一）一般公共预算当年拨款规模变化情况</w:t>
      </w:r>
      <w:bookmarkEnd w:id="36"/>
      <w:bookmarkEnd w:id="37"/>
      <w:bookmarkEnd w:id="38"/>
      <w:bookmarkEnd w:id="39"/>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广元市市场监督管理局广元经开区分局2024年一般公共预算当年拨款301.29万元，比2023年预算数减少28万元，主要原因是有2名人员调出，人员经费预算减少。</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40" w:name="_Toc1390926757"/>
      <w:bookmarkStart w:id="41" w:name="_Toc1835224627"/>
      <w:bookmarkStart w:id="42" w:name="_Toc158021364"/>
      <w:bookmarkStart w:id="43" w:name="_Toc958035941"/>
      <w:r>
        <w:rPr>
          <w:rFonts w:hint="eastAsia"/>
        </w:rPr>
        <w:t>（二）一般公共预算当年拨款结构情况</w:t>
      </w:r>
      <w:bookmarkEnd w:id="40"/>
      <w:bookmarkEnd w:id="41"/>
      <w:bookmarkEnd w:id="42"/>
      <w:bookmarkEnd w:id="43"/>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一般公共服务支出247.10万元，占82.02%；社会保障和就业支出24.92万元，占8.27%；卫生健康支出8.23万元，占2.73%；住房保障支出21.04万元，占6.98%。</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pPr>
      <w:bookmarkStart w:id="44" w:name="_Toc696784610"/>
      <w:bookmarkStart w:id="45" w:name="_Toc767036773"/>
      <w:bookmarkStart w:id="46" w:name="_Toc1096845301"/>
      <w:bookmarkStart w:id="47" w:name="_Toc158021365"/>
      <w:r>
        <w:rPr>
          <w:rFonts w:hint="eastAsia"/>
        </w:rPr>
        <w:t>（三）一般公共预算当年拨款具体使用情况</w:t>
      </w:r>
      <w:bookmarkEnd w:id="44"/>
      <w:bookmarkEnd w:id="45"/>
      <w:bookmarkEnd w:id="46"/>
      <w:bookmarkEnd w:id="47"/>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一般公共服务（类）市场监督管理事务（款）行政运行（项）2024年预算数为</w:t>
      </w:r>
      <w:r>
        <w:rPr>
          <w:rFonts w:ascii="仿宋_GB2312" w:hAnsi="仿宋_GB2312" w:eastAsia="仿宋_GB2312" w:cs="仿宋_GB2312"/>
          <w:sz w:val="32"/>
          <w:szCs w:val="32"/>
        </w:rPr>
        <w:t>217.58</w:t>
      </w:r>
      <w:r>
        <w:rPr>
          <w:rFonts w:hint="eastAsia" w:ascii="仿宋_GB2312" w:hAnsi="仿宋_GB2312" w:eastAsia="仿宋_GB2312" w:cs="仿宋_GB2312"/>
          <w:sz w:val="32"/>
          <w:szCs w:val="32"/>
        </w:rPr>
        <w:t>万元，主要用于：行政单位工资奖金津补贴、其他工资福利支出、办公经费、会议费、培训费、委托业务费、公务接待费、公务用车运行维护费、维修（护）费、其他商品和服务支出、其他对个人和家庭补助。</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一般公共服务（类）市场监督管理事务（款）市场主体管理2024年预算数为15.00万元，主要用于：行政单位市场主体管理办公经费、培训费、委托业务费、印刷费、其他商品和服务支出。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一般公共服务（类）市场监督管理事务（款）市场秩序执法（项）2024年预算数为6.00万元，主要用于：行政执法单位办公经费、会议费、培训费、委托业务费、其他商品和服务支出。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一般公共服务（类）市场监督管理事务（款）信息化建设（项）2024年预算数为3.52万元，主要用于：信息化运行及维护等方面的费用。</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一般公共服务（类）市场监督管理事务（款）其他市场监督管理事务（项）2024年预算数为5万元，主要用于：知识产权保护工作，专利、商标培育工作，文明城市创建工作，乡村振兴工作所需办公经费、委托业务费、其他商品和服务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6.社会保障和就业（类）行政事业单位养老支出（款）机关事业单位基本养老保险缴费支出（项）2024年预算数为24.92万元，主要用于：实施养老保险制度由单位缴纳的基本养老保险支出。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7.卫生健康（类）行政事业单位医疗（款）行政单位医疗（项）2024年预算数为8.23万元，主要用于：机关及参公管理事业单位按规定由单位缴纳的基本医疗保险支出。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8.住房保障（类）住房改革支出（款）住房公积金（项）2024年预算数为21.04万元，主要用于：部门按规定为职工缴纳的住房公积金支出。</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48" w:name="_Toc158021366"/>
      <w:bookmarkStart w:id="49" w:name="_Toc1084913768"/>
      <w:bookmarkStart w:id="50" w:name="_Toc351732332"/>
      <w:bookmarkStart w:id="51" w:name="_Toc1489590809"/>
      <w:r>
        <w:rPr>
          <w:rFonts w:hint="eastAsia" w:ascii="黑体" w:eastAsia="黑体"/>
          <w:b w:val="0"/>
          <w:sz w:val="32"/>
          <w:szCs w:val="32"/>
        </w:rPr>
        <w:t>六、一般公共预算基本支出情况说明</w:t>
      </w:r>
      <w:bookmarkEnd w:id="48"/>
      <w:bookmarkEnd w:id="49"/>
      <w:bookmarkEnd w:id="50"/>
      <w:bookmarkEnd w:id="51"/>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广元市市场监督管理局广元经开区分局2024年一般公共预算基本支出271.77万元，其中：</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人员经费233.73万元，主要包括：基本工资、津贴补贴、奖金、社会保险缴费、住房公积金、</w:t>
      </w:r>
      <w:r>
        <w:rPr>
          <w:rFonts w:hint="default" w:ascii="仿宋_GB2312" w:hAnsi="仿宋_GB2312" w:eastAsia="仿宋_GB2312" w:cs="仿宋_GB2312"/>
          <w:sz w:val="32"/>
          <w:szCs w:val="32"/>
        </w:rPr>
        <w:t>生活补助</w:t>
      </w:r>
      <w:r>
        <w:rPr>
          <w:rFonts w:hint="eastAsia" w:ascii="仿宋_GB2312" w:hAnsi="仿宋_GB2312" w:eastAsia="仿宋_GB2312" w:cs="仿宋_GB2312"/>
          <w:sz w:val="32"/>
          <w:szCs w:val="32"/>
        </w:rPr>
        <w:t>等支出。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用经费38.04万元，主要包括：办公费、印刷费、水费、电费、邮电费、物业管理费、差旅费、维修（护）费、租赁费、会议费、培训费、公务接待费、劳务费、委托业务费、工会经费、福利费、公务用车运行维护费、其他交通费用</w:t>
      </w:r>
      <w:r>
        <w:rPr>
          <w:rFonts w:hint="default"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rPr>
        <w:t>等支出。</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hAnsi="黑体" w:eastAsia="黑体" w:cs="黑体"/>
          <w:sz w:val="32"/>
          <w:szCs w:val="32"/>
        </w:rPr>
      </w:pPr>
      <w:bookmarkStart w:id="52" w:name="_Toc675645222"/>
      <w:bookmarkStart w:id="53" w:name="_Toc1802797277"/>
      <w:bookmarkStart w:id="54" w:name="_Toc973560706"/>
      <w:bookmarkStart w:id="55" w:name="_Toc158021367"/>
      <w:r>
        <w:rPr>
          <w:rFonts w:hint="eastAsia" w:ascii="黑体" w:eastAsia="黑体"/>
          <w:b w:val="0"/>
          <w:sz w:val="32"/>
          <w:szCs w:val="32"/>
        </w:rPr>
        <w:t>七、“三公”经费财政拨款预算安排情况说明</w:t>
      </w:r>
      <w:bookmarkEnd w:id="52"/>
      <w:bookmarkEnd w:id="53"/>
      <w:bookmarkEnd w:id="54"/>
      <w:bookmarkEnd w:id="55"/>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广元市市场监督管理局广元经开区分局2024年“三公”经费财政拨款预算数5.40万元，其中：公务接待费0.70万元，公务用车购置及运行维护费4.70万元，因公出国（境）经费0.00万元。</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rPr>
      </w:pPr>
      <w:bookmarkStart w:id="56" w:name="_Toc88010272"/>
      <w:r>
        <w:rPr>
          <w:rFonts w:hint="eastAsia"/>
        </w:rPr>
        <w:t>（一）公务接待费</w:t>
      </w:r>
      <w:bookmarkEnd w:id="56"/>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公务接待费与2023年预算相比下降0.16万元，主要原因是厉行节约原则，压减公务接待费。</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rPr>
      </w:pPr>
      <w:bookmarkStart w:id="57" w:name="_Toc1382045435"/>
      <w:r>
        <w:rPr>
          <w:rFonts w:hint="default"/>
        </w:rPr>
        <w:t>（二）</w:t>
      </w:r>
      <w:r>
        <w:rPr>
          <w:rFonts w:hint="eastAsia"/>
        </w:rPr>
        <w:t>公务用车购置及运行维护费</w:t>
      </w:r>
      <w:bookmarkEnd w:id="57"/>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公务用车购置及运行维护费与2023年预算相比下降0.10万元，主要原因是严格落实过“紧日子”要求，压减公务用车运行维护费。</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单位现有公务用车2辆，其中：轿车1辆，越野车1辆。</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2024年安排公务用车运行维护费4.70万元，用于2辆公务用车燃油、过路（桥）、维修、保险等方面支出，主要保障执法办案用车日常需求。</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left="0" w:leftChars="0" w:firstLine="640" w:firstLineChars="200"/>
        <w:jc w:val="both"/>
        <w:textAlignment w:val="auto"/>
        <w:rPr>
          <w:rFonts w:hint="eastAsia"/>
        </w:rPr>
      </w:pPr>
      <w:bookmarkStart w:id="58" w:name="_Toc1362107545"/>
      <w:r>
        <w:rPr>
          <w:rFonts w:hint="eastAsia"/>
          <w:lang w:val="en-US" w:eastAsia="zh-CN"/>
        </w:rPr>
        <w:t>（三）因公出国（境）经费</w:t>
      </w:r>
      <w:bookmarkEnd w:id="58"/>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因公出国（境）经费与2023年预算相比持平。单位预算未编列因公出国（境）经费，未安排出国（境）任务和计划。</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hint="eastAsia" w:ascii="黑体" w:eastAsia="黑体"/>
          <w:b w:val="0"/>
          <w:sz w:val="32"/>
          <w:szCs w:val="32"/>
        </w:rPr>
      </w:pPr>
      <w:bookmarkStart w:id="59" w:name="_Toc1795816512"/>
      <w:bookmarkStart w:id="60" w:name="_Toc158021368"/>
      <w:bookmarkStart w:id="61" w:name="_Toc1411198492"/>
      <w:bookmarkStart w:id="62" w:name="_Toc1513768263"/>
      <w:r>
        <w:rPr>
          <w:rFonts w:hint="eastAsia" w:ascii="黑体" w:eastAsia="黑体"/>
          <w:b w:val="0"/>
          <w:sz w:val="32"/>
          <w:szCs w:val="32"/>
        </w:rPr>
        <w:t>八、政府性基金预算支出情况说明</w:t>
      </w:r>
      <w:bookmarkEnd w:id="59"/>
      <w:bookmarkEnd w:id="60"/>
      <w:bookmarkEnd w:id="61"/>
      <w:bookmarkEnd w:id="62"/>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广元市市场监督管理局广元经开区分局2024年无政府性基金预算拨款安排的支出。</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63" w:name="_Toc1171743959"/>
      <w:bookmarkStart w:id="64" w:name="_Toc1106661362"/>
      <w:bookmarkStart w:id="65" w:name="_Toc1822345913"/>
      <w:bookmarkStart w:id="66" w:name="_Toc158021369"/>
      <w:r>
        <w:rPr>
          <w:rFonts w:hint="eastAsia" w:ascii="黑体" w:eastAsia="黑体"/>
          <w:b w:val="0"/>
          <w:sz w:val="32"/>
          <w:szCs w:val="32"/>
        </w:rPr>
        <w:t>九、国有资本经营预算支出情况说明</w:t>
      </w:r>
      <w:bookmarkEnd w:id="63"/>
      <w:bookmarkEnd w:id="64"/>
      <w:bookmarkEnd w:id="65"/>
      <w:bookmarkEnd w:id="66"/>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广元市市场监督管理局广元经开区分局2024年无国有资本经营预算拨款安排的支出。</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hint="eastAsia" w:ascii="黑体" w:eastAsia="黑体"/>
          <w:b w:val="0"/>
          <w:sz w:val="32"/>
          <w:szCs w:val="32"/>
        </w:rPr>
      </w:pPr>
      <w:bookmarkStart w:id="67" w:name="_Toc1208766671"/>
      <w:bookmarkStart w:id="68" w:name="_Toc158021370"/>
      <w:bookmarkStart w:id="69" w:name="_Toc74573121"/>
      <w:bookmarkStart w:id="70" w:name="_Toc1836973106"/>
      <w:r>
        <w:rPr>
          <w:rFonts w:hint="eastAsia" w:ascii="黑体" w:eastAsia="黑体"/>
          <w:b w:val="0"/>
          <w:sz w:val="32"/>
          <w:szCs w:val="32"/>
        </w:rPr>
        <w:t>十、其他重要事项的情况说明</w:t>
      </w:r>
      <w:bookmarkEnd w:id="67"/>
      <w:bookmarkEnd w:id="68"/>
      <w:bookmarkEnd w:id="69"/>
      <w:bookmarkEnd w:id="70"/>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rPr>
      </w:pPr>
      <w:bookmarkStart w:id="71" w:name="_Toc1100628290"/>
      <w:r>
        <w:rPr>
          <w:rFonts w:hint="eastAsia"/>
        </w:rPr>
        <w:t>（一）机关运行经费</w:t>
      </w:r>
      <w:bookmarkEnd w:id="71"/>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2024年，广元市市场监督管理局广元经开区分局的机关运行经费财政拨款预算为38.04万元，比2023年预算减少5.45万元，下降12.53%。主要原因新增2名人员调出，公用经费预算相应减少。</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lang w:val="en-US" w:eastAsia="zh-CN"/>
        </w:rPr>
      </w:pPr>
      <w:bookmarkStart w:id="72" w:name="_Toc621200812"/>
      <w:r>
        <w:rPr>
          <w:rFonts w:hint="eastAsia"/>
          <w:lang w:val="en-US" w:eastAsia="zh-CN"/>
        </w:rPr>
        <w:t>（二）政府采购情况</w:t>
      </w:r>
      <w:bookmarkEnd w:id="72"/>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2024年，广元市市场监督管理局广元经开区分局未安排政府采购预算。</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lang w:val="en-US" w:eastAsia="zh-CN"/>
        </w:rPr>
      </w:pPr>
      <w:bookmarkStart w:id="73" w:name="_Toc647557465"/>
      <w:r>
        <w:rPr>
          <w:rFonts w:hint="eastAsia"/>
          <w:lang w:val="en-US" w:eastAsia="zh-CN"/>
        </w:rPr>
        <w:t>（三）国有资产占有使用情况</w:t>
      </w:r>
      <w:bookmarkEnd w:id="73"/>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截至2023年底，广元市市场监督管理局广元经开区分局共有车辆2辆，其中，执法执勤用车2辆。单位无价值200万元以上的大型设备。</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2024年单位预算未安排购置车辆及单位价值200万元以上大型设备。</w:t>
      </w:r>
    </w:p>
    <w:p>
      <w:pPr>
        <w:pStyle w:val="2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jc w:val="both"/>
        <w:textAlignment w:val="auto"/>
        <w:rPr>
          <w:rFonts w:hint="eastAsia"/>
          <w:lang w:val="en-US" w:eastAsia="zh-CN"/>
        </w:rPr>
      </w:pPr>
      <w:bookmarkStart w:id="74" w:name="_Toc544883565"/>
      <w:r>
        <w:rPr>
          <w:rFonts w:hint="eastAsia"/>
          <w:lang w:val="en-US" w:eastAsia="zh-CN"/>
        </w:rPr>
        <w:t>（四）绩效目标设置情况</w:t>
      </w:r>
      <w:bookmarkEnd w:id="74"/>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2024年广元市市场监督管理局广元经开区分局开展绩效目标管理的项目14个，涉及预算301.29万元。其中：人员类项目7个，涉及预算 233.73万元；运转类项目3个，涉及预算38.04万元；特定目标类项目4个，涉及预算2</w:t>
      </w:r>
      <w:r>
        <w:rPr>
          <w:rFonts w:hint="default" w:ascii="仿宋_GB2312" w:hAnsi="仿宋_GB2312" w:eastAsia="仿宋_GB2312" w:cs="仿宋_GB2312"/>
          <w:sz w:val="32"/>
          <w:szCs w:val="32"/>
        </w:rPr>
        <w:t>9</w:t>
      </w:r>
      <w:r>
        <w:rPr>
          <w:rFonts w:hint="eastAsia" w:ascii="仿宋_GB2312" w:hAnsi="仿宋_GB2312" w:eastAsia="仿宋_GB2312" w:cs="仿宋_GB2312"/>
          <w:sz w:val="32"/>
          <w:szCs w:val="32"/>
        </w:rPr>
        <w:t>.52万元。</w:t>
      </w:r>
    </w:p>
    <w:p>
      <w:pPr>
        <w:pStyle w:val="2"/>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after="0" w:line="576" w:lineRule="exact"/>
        <w:ind w:firstLine="640" w:firstLineChars="200"/>
        <w:jc w:val="both"/>
        <w:textAlignment w:val="auto"/>
        <w:rPr>
          <w:rFonts w:ascii="黑体" w:eastAsia="黑体"/>
          <w:b w:val="0"/>
          <w:sz w:val="32"/>
          <w:szCs w:val="32"/>
        </w:rPr>
      </w:pPr>
      <w:bookmarkStart w:id="75" w:name="_Toc1955634492"/>
      <w:bookmarkStart w:id="76" w:name="_Toc158021371"/>
      <w:bookmarkStart w:id="77" w:name="_Toc1278870504"/>
      <w:bookmarkStart w:id="78" w:name="_Toc984776176"/>
      <w:r>
        <w:rPr>
          <w:rFonts w:hint="eastAsia" w:ascii="黑体" w:eastAsia="黑体"/>
          <w:b w:val="0"/>
          <w:sz w:val="32"/>
          <w:szCs w:val="32"/>
        </w:rPr>
        <w:t>十一、名词解释</w:t>
      </w:r>
      <w:bookmarkEnd w:id="75"/>
      <w:bookmarkEnd w:id="76"/>
      <w:bookmarkEnd w:id="77"/>
      <w:bookmarkEnd w:id="78"/>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（二）一般公共服务（类）市场监督管理事务（款）行政运行（项）：</w:t>
      </w:r>
      <w:r>
        <w:rPr>
          <w:rFonts w:hint="eastAsia" w:ascii="仿宋_GB2312" w:hAnsi="仿宋_GB2312" w:eastAsia="仿宋_GB2312" w:cs="仿宋_GB2312"/>
          <w:sz w:val="32"/>
          <w:szCs w:val="32"/>
        </w:rPr>
        <w:t>指机关单位用于保障机构正常运行、开展日常工作的基本支出。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（三）一般公共服务(类)市场监督管理事务(款)市场主体管理(项):</w:t>
      </w:r>
      <w:r>
        <w:rPr>
          <w:rFonts w:hint="eastAsia" w:ascii="仿宋_GB2312" w:hAnsi="仿宋_GB2312" w:eastAsia="仿宋_GB2312" w:cs="仿宋_GB2312"/>
          <w:sz w:val="32"/>
          <w:szCs w:val="32"/>
        </w:rPr>
        <w:t>指用于市场准入、许可审批、信用监管等市场主体管理专项工作的支出。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（四）一般公共服务(类)市场监督管理事务(款)市场秩序执法(项):</w:t>
      </w:r>
      <w:r>
        <w:rPr>
          <w:rFonts w:hint="eastAsia" w:ascii="仿宋_GB2312" w:hAnsi="仿宋_GB2312" w:eastAsia="仿宋_GB2312" w:cs="仿宋_GB2312"/>
          <w:sz w:val="32"/>
          <w:szCs w:val="32"/>
        </w:rPr>
        <w:t>指用于反垄断、价格监督、反不正当竞争、规范直销与打击传销、网络交易监管、广告监管、消费者权益保护、综合执法等市场秩序执法专项工作支出。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（五）一般公共服务(类)市场监督管理事务(款)信息化建设(项):</w:t>
      </w:r>
      <w:r>
        <w:rPr>
          <w:rFonts w:hint="eastAsia" w:ascii="仿宋_GB2312" w:hAnsi="仿宋_GB2312" w:eastAsia="仿宋_GB2312" w:cs="仿宋_GB2312"/>
          <w:sz w:val="32"/>
          <w:szCs w:val="32"/>
        </w:rPr>
        <w:t>指用于信息化建设及运行维护等方面的支出。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（六）一般公共服务(类)市场监督管理事务(款)其他市场监督管理事务支出(项):</w:t>
      </w:r>
      <w:r>
        <w:rPr>
          <w:rFonts w:hint="eastAsia" w:ascii="仿宋_GB2312" w:hAnsi="仿宋_GB2312" w:eastAsia="仿宋_GB2312" w:cs="仿宋_GB2312"/>
          <w:sz w:val="32"/>
          <w:szCs w:val="32"/>
        </w:rPr>
        <w:t>指用于除上述项目以外其他市场监督管理事务方面的支出。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（七）社会保障和就业（类）行政事业单位养老支出（款）机关事业单位基本养老保险缴费支出（项）：</w:t>
      </w:r>
      <w:r>
        <w:rPr>
          <w:rFonts w:hint="eastAsia" w:ascii="仿宋_GB2312" w:hAnsi="仿宋_GB2312" w:eastAsia="仿宋_GB2312" w:cs="仿宋_GB2312"/>
          <w:sz w:val="32"/>
          <w:szCs w:val="32"/>
        </w:rPr>
        <w:t>指单位实施养老保险制度由单位缴纳的养老保险的支出。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（八）卫生健康（类）行政事业单位医疗（款）行政单位医疗（项）：</w:t>
      </w:r>
      <w:r>
        <w:rPr>
          <w:rFonts w:hint="eastAsia" w:ascii="仿宋_GB2312" w:hAnsi="仿宋_GB2312" w:eastAsia="仿宋_GB2312" w:cs="仿宋_GB2312"/>
          <w:sz w:val="32"/>
          <w:szCs w:val="32"/>
        </w:rPr>
        <w:t>指机关及参公管理事业单位用于单位应缴纳基本医疗保险支出。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（九）住房保障（类）住房改革支出（款）住房公积金（项）：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（十）基本支出：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（十一）项目支出：</w:t>
      </w:r>
      <w:r>
        <w:rPr>
          <w:rFonts w:hint="eastAsia" w:ascii="仿宋_GB2312" w:hAnsi="仿宋_GB2312" w:eastAsia="仿宋_GB2312" w:cs="仿宋_GB2312"/>
          <w:sz w:val="32"/>
          <w:szCs w:val="32"/>
        </w:rPr>
        <w:t>指在基本支出之外为完成特定行政任务和事业发展目标所发生的支出。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（十二）“三公”经费：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（十三）机关运行经费：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bookmarkEnd w:id="79"/>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单位</w:t>
      </w:r>
      <w:r>
        <w:rPr>
          <w:rFonts w:hint="eastAsia" w:ascii="仿宋_GB2312" w:hAnsi="仿宋_GB2312" w:eastAsia="仿宋_GB2312" w:cs="仿宋_GB2312"/>
          <w:sz w:val="32"/>
          <w:szCs w:val="32"/>
        </w:rPr>
        <w:t>预算公开表</w:t>
      </w:r>
    </w:p>
    <w:p>
      <w:pPr>
        <w:spacing w:line="576" w:lineRule="exact"/>
        <w:rPr>
          <w:rFonts w:ascii="仿宋_GB2312" w:hAnsi="仿宋_GB2312" w:eastAsia="仿宋_GB2312" w:cs="仿宋_GB2312"/>
          <w:sz w:val="32"/>
          <w:szCs w:val="32"/>
        </w:rPr>
      </w:pPr>
    </w:p>
    <w:p>
      <w:pPr>
        <w:spacing w:line="576" w:lineRule="exact"/>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Cambria">
    <w:altName w:val="Georgia"/>
    <w:panose1 w:val="02040503050406030204"/>
    <w:charset w:val="00"/>
    <w:family w:val="roman"/>
    <w:pitch w:val="default"/>
    <w:sig w:usb0="00000000" w:usb1="00000000" w:usb2="00000000" w:usb3="00000000" w:csb0="0000009F" w:csb1="00000000"/>
  </w:font>
  <w:font w:name="Georgia">
    <w:panose1 w:val="02040502050405020303"/>
    <w:charset w:val="00"/>
    <w:family w:val="auto"/>
    <w:pitch w:val="default"/>
    <w:sig w:usb0="00000287" w:usb1="00000000" w:usb2="00000000" w:usb3="00000000" w:csb0="2000009F"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path/>
          <v:fill on="f" focussize="0,0"/>
          <v:stroke on="f" joinstyle="miter"/>
          <v:imagedata o:title=""/>
          <o:lock v:ext="edit"/>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1006C"/>
    <w:multiLevelType w:val="multilevel"/>
    <w:tmpl w:val="4CA1006C"/>
    <w:lvl w:ilvl="0" w:tentative="0">
      <w:start w:val="1"/>
      <w:numFmt w:val="decimal"/>
      <w:lvlText w:val="%1."/>
      <w:lvlJc w:val="left"/>
      <w:pPr>
        <w:ind w:left="1000" w:hanging="360"/>
      </w:pPr>
      <w:rPr>
        <w:rFonts w:hint="default" w:ascii="仿宋_GB2312" w:eastAsia="仿宋_GB2312" w:cs="仿宋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E425FD"/>
    <w:rsid w:val="00021335"/>
    <w:rsid w:val="00057548"/>
    <w:rsid w:val="000D4B3A"/>
    <w:rsid w:val="000D4C01"/>
    <w:rsid w:val="00147C8A"/>
    <w:rsid w:val="00153DDF"/>
    <w:rsid w:val="001550F6"/>
    <w:rsid w:val="00227252"/>
    <w:rsid w:val="00316C18"/>
    <w:rsid w:val="00341B51"/>
    <w:rsid w:val="003B785F"/>
    <w:rsid w:val="004802AB"/>
    <w:rsid w:val="00480BB7"/>
    <w:rsid w:val="004A363B"/>
    <w:rsid w:val="004D1B38"/>
    <w:rsid w:val="004E446E"/>
    <w:rsid w:val="004F78AD"/>
    <w:rsid w:val="005048C3"/>
    <w:rsid w:val="00504B98"/>
    <w:rsid w:val="0053403D"/>
    <w:rsid w:val="005D4B7D"/>
    <w:rsid w:val="005D642C"/>
    <w:rsid w:val="005E464E"/>
    <w:rsid w:val="00620E48"/>
    <w:rsid w:val="00647805"/>
    <w:rsid w:val="00740F6B"/>
    <w:rsid w:val="0077678C"/>
    <w:rsid w:val="007A1D9D"/>
    <w:rsid w:val="00814D37"/>
    <w:rsid w:val="00822BB6"/>
    <w:rsid w:val="008A682D"/>
    <w:rsid w:val="00907F57"/>
    <w:rsid w:val="009C4283"/>
    <w:rsid w:val="00A81035"/>
    <w:rsid w:val="00AD1319"/>
    <w:rsid w:val="00AE6206"/>
    <w:rsid w:val="00B02CFF"/>
    <w:rsid w:val="00B07FE7"/>
    <w:rsid w:val="00B12125"/>
    <w:rsid w:val="00B33897"/>
    <w:rsid w:val="00C97640"/>
    <w:rsid w:val="00CD530D"/>
    <w:rsid w:val="00CF36B5"/>
    <w:rsid w:val="00D1551C"/>
    <w:rsid w:val="00D82344"/>
    <w:rsid w:val="00DA1C9C"/>
    <w:rsid w:val="00DE7653"/>
    <w:rsid w:val="00E425FD"/>
    <w:rsid w:val="00E45F35"/>
    <w:rsid w:val="00EA03E5"/>
    <w:rsid w:val="00F402F2"/>
    <w:rsid w:val="00F41733"/>
    <w:rsid w:val="00FD11A1"/>
    <w:rsid w:val="012352D1"/>
    <w:rsid w:val="1D9F113A"/>
    <w:rsid w:val="1F7BF06F"/>
    <w:rsid w:val="1FEE4B73"/>
    <w:rsid w:val="23CE9849"/>
    <w:rsid w:val="2FFD97B0"/>
    <w:rsid w:val="372799D5"/>
    <w:rsid w:val="39F304DD"/>
    <w:rsid w:val="3B5CCBE1"/>
    <w:rsid w:val="416FEAA9"/>
    <w:rsid w:val="54244390"/>
    <w:rsid w:val="54662A63"/>
    <w:rsid w:val="58064E12"/>
    <w:rsid w:val="5BFEE015"/>
    <w:rsid w:val="63EDCF55"/>
    <w:rsid w:val="63FBFBCF"/>
    <w:rsid w:val="669360FD"/>
    <w:rsid w:val="68FF6A83"/>
    <w:rsid w:val="6AEF6005"/>
    <w:rsid w:val="6E3DB48E"/>
    <w:rsid w:val="6FBBC9CF"/>
    <w:rsid w:val="72BDE561"/>
    <w:rsid w:val="75FBDFB6"/>
    <w:rsid w:val="78462278"/>
    <w:rsid w:val="7997EA6C"/>
    <w:rsid w:val="7AEAE675"/>
    <w:rsid w:val="7BAFCE5D"/>
    <w:rsid w:val="7D46598C"/>
    <w:rsid w:val="7D9F8F0F"/>
    <w:rsid w:val="7DFB240B"/>
    <w:rsid w:val="7DFE05E7"/>
    <w:rsid w:val="7E0935ED"/>
    <w:rsid w:val="7EDDA527"/>
    <w:rsid w:val="7FCF2AF7"/>
    <w:rsid w:val="9FEF033D"/>
    <w:rsid w:val="A27FF1E5"/>
    <w:rsid w:val="AF3FEDDD"/>
    <w:rsid w:val="AFDEB5A7"/>
    <w:rsid w:val="AFEA7FBF"/>
    <w:rsid w:val="B83F4767"/>
    <w:rsid w:val="BF930F07"/>
    <w:rsid w:val="BFCE8436"/>
    <w:rsid w:val="BFFCCF72"/>
    <w:rsid w:val="C3F7EB7A"/>
    <w:rsid w:val="CFF5FEEC"/>
    <w:rsid w:val="D3DD9064"/>
    <w:rsid w:val="D6F76A0C"/>
    <w:rsid w:val="D7ECE8D2"/>
    <w:rsid w:val="DFDD4FB5"/>
    <w:rsid w:val="E7F748B5"/>
    <w:rsid w:val="EE5F3713"/>
    <w:rsid w:val="EFC9D62C"/>
    <w:rsid w:val="F1FC671F"/>
    <w:rsid w:val="F6BE9755"/>
    <w:rsid w:val="F6FFA89B"/>
    <w:rsid w:val="F88D0DC7"/>
    <w:rsid w:val="FAE4EFE1"/>
    <w:rsid w:val="FB9B6F12"/>
    <w:rsid w:val="FBB66A4A"/>
    <w:rsid w:val="FDEE6989"/>
    <w:rsid w:val="FF5E7DB8"/>
    <w:rsid w:val="FF77E367"/>
    <w:rsid w:val="FFD576EB"/>
    <w:rsid w:val="FFDB1578"/>
    <w:rsid w:val="FFFADE43"/>
    <w:rsid w:val="FFFBE8B7"/>
    <w:rsid w:val="FFFF4CF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rPr>
  </w:style>
  <w:style w:type="paragraph" w:styleId="5">
    <w:name w:val="Body Text"/>
    <w:basedOn w:val="1"/>
    <w:qFormat/>
    <w:uiPriority w:val="0"/>
    <w:pPr>
      <w:spacing w:after="140" w:line="276" w:lineRule="auto"/>
    </w:pPr>
  </w:style>
  <w:style w:type="paragraph" w:styleId="6">
    <w:name w:val="Balloon Text"/>
    <w:basedOn w:val="1"/>
    <w:link w:val="24"/>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39"/>
  </w:style>
  <w:style w:type="paragraph" w:styleId="10">
    <w:name w:val="List"/>
    <w:basedOn w:val="5"/>
    <w:qFormat/>
    <w:uiPriority w:val="0"/>
  </w:style>
  <w:style w:type="paragraph" w:styleId="11">
    <w:name w:val="toc 2"/>
    <w:basedOn w:val="1"/>
    <w:next w:val="1"/>
    <w:qFormat/>
    <w:uiPriority w:val="39"/>
    <w:pPr>
      <w:ind w:left="420" w:leftChars="200"/>
    </w:pPr>
  </w:style>
  <w:style w:type="paragraph" w:styleId="12">
    <w:name w:val="Normal (Web)"/>
    <w:basedOn w:val="1"/>
    <w:qFormat/>
    <w:uiPriority w:val="0"/>
    <w:rPr>
      <w:sz w:val="24"/>
    </w:rPr>
  </w:style>
  <w:style w:type="character" w:styleId="15">
    <w:name w:val="Hyperlink"/>
    <w:basedOn w:val="14"/>
    <w:unhideWhenUsed/>
    <w:qFormat/>
    <w:uiPriority w:val="99"/>
    <w:rPr>
      <w:color w:val="0000FF" w:themeColor="hyperlink"/>
      <w:u w:val="single"/>
    </w:rPr>
  </w:style>
  <w:style w:type="character" w:customStyle="1" w:styleId="16">
    <w:name w:val="默认段落字体1"/>
    <w:qFormat/>
    <w:uiPriority w:val="0"/>
  </w:style>
  <w:style w:type="paragraph" w:customStyle="1" w:styleId="17">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18">
    <w:name w:val="Index"/>
    <w:basedOn w:val="1"/>
    <w:qFormat/>
    <w:uiPriority w:val="0"/>
    <w:pPr>
      <w:suppressLineNumbers/>
    </w:pPr>
  </w:style>
  <w:style w:type="paragraph" w:styleId="19">
    <w:name w:val="List Paragraph"/>
    <w:basedOn w:val="1"/>
    <w:unhideWhenUsed/>
    <w:qFormat/>
    <w:uiPriority w:val="99"/>
    <w:pPr>
      <w:ind w:firstLine="420" w:firstLineChars="200"/>
    </w:pPr>
  </w:style>
  <w:style w:type="paragraph" w:customStyle="1" w:styleId="20">
    <w:name w:val="标题2"/>
    <w:basedOn w:val="3"/>
    <w:qFormat/>
    <w:uiPriority w:val="0"/>
    <w:pPr>
      <w:spacing w:line="560" w:lineRule="exact"/>
      <w:ind w:firstLine="200" w:firstLineChars="200"/>
    </w:pPr>
    <w:rPr>
      <w:rFonts w:ascii="楷体_GB2312" w:hAnsi="仿宋" w:eastAsia="楷体_GB2312" w:cs="Times New Roman"/>
      <w:b w:val="0"/>
    </w:rPr>
  </w:style>
  <w:style w:type="character" w:customStyle="1" w:styleId="21">
    <w:name w:val="标题 2 Char"/>
    <w:basedOn w:val="14"/>
    <w:link w:val="3"/>
    <w:semiHidden/>
    <w:qFormat/>
    <w:uiPriority w:val="0"/>
    <w:rPr>
      <w:rFonts w:asciiTheme="majorHAnsi" w:hAnsiTheme="majorHAnsi" w:eastAsiaTheme="majorEastAsia" w:cstheme="majorBidi"/>
      <w:b/>
      <w:bCs/>
      <w:kern w:val="2"/>
      <w:sz w:val="32"/>
      <w:szCs w:val="32"/>
    </w:rPr>
  </w:style>
  <w:style w:type="character" w:customStyle="1" w:styleId="22">
    <w:name w:val="标题 1 Char"/>
    <w:basedOn w:val="14"/>
    <w:link w:val="2"/>
    <w:qFormat/>
    <w:uiPriority w:val="0"/>
    <w:rPr>
      <w:rFonts w:ascii="Calibri" w:hAnsi="Calibri"/>
      <w:b/>
      <w:bCs/>
      <w:kern w:val="44"/>
      <w:sz w:val="44"/>
      <w:szCs w:val="44"/>
    </w:rPr>
  </w:style>
  <w:style w:type="paragraph" w:customStyle="1" w:styleId="23">
    <w:name w:val="TOC Heading"/>
    <w:basedOn w:val="2"/>
    <w:next w:val="1"/>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4">
    <w:name w:val="批注框文本 Char"/>
    <w:basedOn w:val="14"/>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15</Pages>
  <Words>1016</Words>
  <Characters>5794</Characters>
  <Lines>48</Lines>
  <Paragraphs>13</Paragraphs>
  <TotalTime>2</TotalTime>
  <ScaleCrop>false</ScaleCrop>
  <LinksUpToDate>false</LinksUpToDate>
  <CharactersWithSpaces>6797</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2024-02-02T16:32:00Z</dcterms:created>
  <dc:creator>admin</dc:creator>
  <cp:lastModifiedBy> </cp:lastModifiedBy>
  <dcterms:modified xsi:type="dcterms:W3CDTF">2024-02-28T11:58:15Z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