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spacing w:line="580" w:lineRule="atLeas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四川省广元市八二一中学</w:t>
      </w:r>
    </w:p>
    <w:p>
      <w:pPr>
        <w:widowControl/>
        <w:shd w:val="clear" w:color="auto"/>
        <w:spacing w:line="580" w:lineRule="atLeast"/>
        <w:jc w:val="center"/>
        <w:rPr>
          <w:rFonts w:hint="eastAsia" w:ascii="方正小标宋简体" w:hAnsi="方正小标宋简体" w:eastAsia="方正小标宋简体" w:cs="方正小标宋简体"/>
          <w:color w:val="000000" w:themeColor="text1"/>
          <w:kern w:val="0"/>
          <w:sz w:val="44"/>
          <w:szCs w:val="44"/>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cols w:space="720" w:num="1"/>
          <w:docGrid w:type="lines" w:linePitch="312" w:charSpace="0"/>
        </w:sect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2024年部门预算编制说</w:t>
      </w:r>
      <w:r>
        <w:rPr>
          <w:rFonts w:hint="eastAsia" w:ascii="方正小标宋简体" w:hAnsi="方正小标宋简体" w:eastAsia="方正小标宋简体" w:cs="方正小标宋简体"/>
          <w:color w:val="000000" w:themeColor="text1"/>
          <w:kern w:val="0"/>
          <w:sz w:val="44"/>
          <w:szCs w:val="44"/>
          <w:shd w:val="clear" w:color="auto" w:fill="FFFFFF"/>
          <w:lang w:val="en-US" w:eastAsia="zh-CN" w:bidi="ar"/>
          <w14:textFill>
            <w14:solidFill>
              <w14:schemeClr w14:val="tx1"/>
            </w14:solidFill>
          </w14:textFill>
        </w:rPr>
        <w:t>明</w:t>
      </w:r>
    </w:p>
    <w:p>
      <w:pPr>
        <w:widowControl/>
        <w:shd w:val="clear" w:color="auto"/>
        <w:spacing w:line="580" w:lineRule="atLeast"/>
        <w:jc w:val="both"/>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p>
    <w:sdt>
      <w:sdtPr>
        <w:rPr>
          <w:rFonts w:ascii="Calibri" w:hAnsi="Calibri" w:eastAsia="宋体" w:cs="Times New Roman"/>
          <w:color w:val="auto"/>
          <w:kern w:val="2"/>
          <w:sz w:val="21"/>
          <w:szCs w:val="24"/>
          <w:lang w:val="zh-CN"/>
        </w:rPr>
        <w:id w:val="-1857645165"/>
        <w:docPartObj>
          <w:docPartGallery w:val="Table of Contents"/>
          <w:docPartUnique/>
        </w:docPartObj>
      </w:sdtPr>
      <w:sdtEndPr>
        <w:rPr>
          <w:rFonts w:ascii="Calibri" w:hAnsi="Calibri" w:eastAsia="宋体" w:cs="Times New Roman"/>
          <w:b/>
          <w:bCs/>
          <w:color w:val="auto"/>
          <w:kern w:val="2"/>
          <w:sz w:val="21"/>
          <w:szCs w:val="24"/>
          <w:lang w:val="zh-CN"/>
        </w:rPr>
      </w:sdtEndPr>
      <w:sdtContent>
        <w:p>
          <w:pPr>
            <w:pStyle w:val="20"/>
            <w:pageBreakBefore w:val="0"/>
            <w:shd w:val="clear"/>
            <w:kinsoku/>
            <w:wordWrap/>
            <w:overflowPunct/>
            <w:topLinePunct w:val="0"/>
            <w:autoSpaceDE/>
            <w:autoSpaceDN/>
            <w:bidi w:val="0"/>
            <w:adjustRightInd/>
            <w:snapToGrid/>
            <w:spacing w:line="480" w:lineRule="exact"/>
            <w:jc w:val="center"/>
            <w:textAlignment w:val="auto"/>
            <w:rPr>
              <w:rFonts w:ascii="黑体" w:hAnsi="黑体" w:eastAsia="黑体" w:cs="黑体"/>
              <w:color w:val="000000" w:themeColor="text1"/>
              <w:shd w:val="clear" w:color="auto" w:fill="FFFFFF"/>
              <w:lang w:bidi="ar"/>
              <w14:textFill>
                <w14:solidFill>
                  <w14:schemeClr w14:val="tx1"/>
                </w14:solidFill>
              </w14:textFill>
            </w:rPr>
          </w:pPr>
          <w:r>
            <w:rPr>
              <w:rFonts w:ascii="黑体" w:hAnsi="黑体" w:eastAsia="黑体" w:cs="黑体"/>
              <w:color w:val="000000" w:themeColor="text1"/>
              <w:shd w:val="clear" w:color="auto" w:fill="FFFFFF"/>
              <w:lang w:bidi="ar"/>
              <w14:textFill>
                <w14:solidFill>
                  <w14:schemeClr w14:val="tx1"/>
                </w14:solidFill>
              </w14:textFill>
            </w:rPr>
            <w:t>目</w:t>
          </w:r>
          <w:r>
            <w:rPr>
              <w:rFonts w:hint="eastAsia" w:ascii="黑体" w:hAnsi="黑体" w:eastAsia="黑体" w:cs="黑体"/>
              <w:color w:val="000000" w:themeColor="text1"/>
              <w:shd w:val="clear" w:color="auto" w:fill="FFFFFF"/>
              <w:lang w:bidi="ar"/>
              <w14:textFill>
                <w14:solidFill>
                  <w14:schemeClr w14:val="tx1"/>
                </w14:solidFill>
              </w14:textFill>
            </w:rPr>
            <w:t xml:space="preserve"> </w:t>
          </w:r>
          <w:r>
            <w:rPr>
              <w:rFonts w:ascii="黑体" w:hAnsi="黑体" w:eastAsia="黑体" w:cs="黑体"/>
              <w:color w:val="000000" w:themeColor="text1"/>
              <w:shd w:val="clear" w:color="auto" w:fill="FFFFFF"/>
              <w:lang w:bidi="ar"/>
              <w14:textFill>
                <w14:solidFill>
                  <w14:schemeClr w14:val="tx1"/>
                </w14:solidFill>
              </w14:textFill>
            </w:rPr>
            <w:t xml:space="preserve">  录</w:t>
          </w:r>
        </w:p>
        <w:p>
          <w:pPr>
            <w:pStyle w:val="9"/>
            <w:pageBreakBefore w:val="0"/>
            <w:shd w:val="clear"/>
            <w:tabs>
              <w:tab w:val="right" w:leader="dot" w:pos="8835"/>
            </w:tabs>
            <w:kinsoku/>
            <w:wordWrap/>
            <w:overflowPunct/>
            <w:topLinePunct w:val="0"/>
            <w:autoSpaceDE/>
            <w:autoSpaceDN/>
            <w:bidi w:val="0"/>
            <w:adjustRightInd/>
            <w:snapToGrid/>
            <w:spacing w:line="480" w:lineRule="exact"/>
            <w:textAlignment w:val="auto"/>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pPr>
          <w:r>
            <w:fldChar w:fldCharType="begin"/>
          </w:r>
          <w:r>
            <w:instrText xml:space="preserve"> TOC \o "1-3" \h \z \u </w:instrText>
          </w:r>
          <w:r>
            <w:fldChar w:fldCharType="separate"/>
          </w:r>
          <w:r>
            <w:fldChar w:fldCharType="begin"/>
          </w:r>
          <w:r>
            <w:instrText xml:space="preserve"> HYPERLINK \l "_Toc159923264" </w:instrText>
          </w:r>
          <w: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一、基本职能及主要工作</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ab/>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begin"/>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instrText xml:space="preserve"> PAGEREF _Toc159923264 \h </w:instrTex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3</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p>
        <w:p>
          <w:pPr>
            <w:pStyle w:val="11"/>
            <w:pageBreakBefore w:val="0"/>
            <w:shd w:val="clear"/>
            <w:tabs>
              <w:tab w:val="right" w:leader="dot" w:pos="8835"/>
            </w:tabs>
            <w:kinsoku/>
            <w:wordWrap/>
            <w:overflowPunct/>
            <w:topLinePunct w:val="0"/>
            <w:autoSpaceDE/>
            <w:autoSpaceDN/>
            <w:bidi w:val="0"/>
            <w:adjustRightInd/>
            <w:snapToGrid/>
            <w:spacing w:line="480" w:lineRule="exact"/>
            <w:textAlignment w:val="auto"/>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pPr>
          <w:r>
            <w:fldChar w:fldCharType="begin"/>
          </w:r>
          <w:r>
            <w:instrText xml:space="preserve"> HYPERLINK \l "_Toc159923265" </w:instrText>
          </w:r>
          <w: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（一）四川省广元市八二一中学职能简介</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ab/>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begin"/>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instrText xml:space="preserve"> PAGEREF _Toc159923265 \h </w:instrTex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3</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p>
        <w:p>
          <w:pPr>
            <w:pStyle w:val="11"/>
            <w:pageBreakBefore w:val="0"/>
            <w:shd w:val="clear"/>
            <w:tabs>
              <w:tab w:val="right" w:leader="dot" w:pos="8835"/>
            </w:tabs>
            <w:kinsoku/>
            <w:wordWrap/>
            <w:overflowPunct/>
            <w:topLinePunct w:val="0"/>
            <w:autoSpaceDE/>
            <w:autoSpaceDN/>
            <w:bidi w:val="0"/>
            <w:adjustRightInd/>
            <w:snapToGrid/>
            <w:spacing w:line="480" w:lineRule="exact"/>
            <w:textAlignment w:val="auto"/>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pPr>
          <w:r>
            <w:fldChar w:fldCharType="begin"/>
          </w:r>
          <w:r>
            <w:instrText xml:space="preserve"> HYPERLINK \l "_Toc159923266" </w:instrText>
          </w:r>
          <w: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（二）四川省广元市八二一中学2024年重点工作</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ab/>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begin"/>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instrText xml:space="preserve"> PAGEREF _Toc159923266 \h </w:instrTex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3</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p>
        <w:p>
          <w:pPr>
            <w:pStyle w:val="9"/>
            <w:pageBreakBefore w:val="0"/>
            <w:shd w:val="clear"/>
            <w:tabs>
              <w:tab w:val="right" w:leader="dot" w:pos="8835"/>
            </w:tabs>
            <w:kinsoku/>
            <w:wordWrap/>
            <w:overflowPunct/>
            <w:topLinePunct w:val="0"/>
            <w:autoSpaceDE/>
            <w:autoSpaceDN/>
            <w:bidi w:val="0"/>
            <w:adjustRightInd/>
            <w:snapToGrid/>
            <w:spacing w:line="480" w:lineRule="exact"/>
            <w:textAlignment w:val="auto"/>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pPr>
          <w:r>
            <w:fldChar w:fldCharType="begin"/>
          </w:r>
          <w:r>
            <w:instrText xml:space="preserve"> HYPERLINK \l "_Toc159923267" </w:instrText>
          </w:r>
          <w: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二、部门预算单位构成</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ab/>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begin"/>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instrText xml:space="preserve"> PAGEREF _Toc159923267 \h </w:instrTex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3</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p>
        <w:p>
          <w:pPr>
            <w:pStyle w:val="9"/>
            <w:pageBreakBefore w:val="0"/>
            <w:shd w:val="clear"/>
            <w:tabs>
              <w:tab w:val="right" w:leader="dot" w:pos="8835"/>
            </w:tabs>
            <w:kinsoku/>
            <w:wordWrap/>
            <w:overflowPunct/>
            <w:topLinePunct w:val="0"/>
            <w:autoSpaceDE/>
            <w:autoSpaceDN/>
            <w:bidi w:val="0"/>
            <w:adjustRightInd/>
            <w:snapToGrid/>
            <w:spacing w:line="480" w:lineRule="exact"/>
            <w:textAlignment w:val="auto"/>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pPr>
          <w:r>
            <w:fldChar w:fldCharType="begin"/>
          </w:r>
          <w:r>
            <w:instrText xml:space="preserve"> HYPERLINK \l "_Toc159923268" </w:instrText>
          </w:r>
          <w: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三、收支预算情况说明</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ab/>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begin"/>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instrText xml:space="preserve"> PAGEREF _Toc159923268 \h </w:instrTex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4</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p>
        <w:p>
          <w:pPr>
            <w:pStyle w:val="11"/>
            <w:pageBreakBefore w:val="0"/>
            <w:shd w:val="clear"/>
            <w:tabs>
              <w:tab w:val="right" w:leader="dot" w:pos="8835"/>
            </w:tabs>
            <w:kinsoku/>
            <w:wordWrap/>
            <w:overflowPunct/>
            <w:topLinePunct w:val="0"/>
            <w:autoSpaceDE/>
            <w:autoSpaceDN/>
            <w:bidi w:val="0"/>
            <w:adjustRightInd/>
            <w:snapToGrid/>
            <w:spacing w:line="480" w:lineRule="exact"/>
            <w:textAlignment w:val="auto"/>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pPr>
          <w:r>
            <w:fldChar w:fldCharType="begin"/>
          </w:r>
          <w:r>
            <w:instrText xml:space="preserve"> HYPERLINK \l "_Toc159923269" </w:instrText>
          </w:r>
          <w: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（一）收入预算情况</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ab/>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begin"/>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instrText xml:space="preserve"> PAGEREF _Toc159923269 \h </w:instrTex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4</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p>
        <w:p>
          <w:pPr>
            <w:pStyle w:val="11"/>
            <w:pageBreakBefore w:val="0"/>
            <w:shd w:val="clear"/>
            <w:tabs>
              <w:tab w:val="right" w:leader="dot" w:pos="8835"/>
            </w:tabs>
            <w:kinsoku/>
            <w:wordWrap/>
            <w:overflowPunct/>
            <w:topLinePunct w:val="0"/>
            <w:autoSpaceDE/>
            <w:autoSpaceDN/>
            <w:bidi w:val="0"/>
            <w:adjustRightInd/>
            <w:snapToGrid/>
            <w:spacing w:line="480" w:lineRule="exact"/>
            <w:textAlignment w:val="auto"/>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pPr>
          <w:r>
            <w:fldChar w:fldCharType="begin"/>
          </w:r>
          <w:r>
            <w:instrText xml:space="preserve"> HYPERLINK \l "_Toc159923270" </w:instrText>
          </w:r>
          <w: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（二）支出预算情况</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ab/>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begin"/>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instrText xml:space="preserve"> PAGEREF _Toc159923270 \h </w:instrTex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4</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p>
        <w:p>
          <w:pPr>
            <w:pStyle w:val="9"/>
            <w:pageBreakBefore w:val="0"/>
            <w:shd w:val="clear"/>
            <w:tabs>
              <w:tab w:val="right" w:leader="dot" w:pos="8835"/>
            </w:tabs>
            <w:kinsoku/>
            <w:wordWrap/>
            <w:overflowPunct/>
            <w:topLinePunct w:val="0"/>
            <w:autoSpaceDE/>
            <w:autoSpaceDN/>
            <w:bidi w:val="0"/>
            <w:adjustRightInd/>
            <w:snapToGrid/>
            <w:spacing w:line="480" w:lineRule="exact"/>
            <w:textAlignment w:val="auto"/>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pPr>
          <w:r>
            <w:fldChar w:fldCharType="begin"/>
          </w:r>
          <w:r>
            <w:instrText xml:space="preserve"> HYPERLINK \l "_Toc159923271" </w:instrText>
          </w:r>
          <w: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四、财政拨款收支预算情况说明</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ab/>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begin"/>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instrText xml:space="preserve"> PAGEREF _Toc159923271 \h </w:instrTex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4</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p>
        <w:p>
          <w:pPr>
            <w:pStyle w:val="9"/>
            <w:pageBreakBefore w:val="0"/>
            <w:shd w:val="clear"/>
            <w:tabs>
              <w:tab w:val="right" w:leader="dot" w:pos="8835"/>
            </w:tabs>
            <w:kinsoku/>
            <w:wordWrap/>
            <w:overflowPunct/>
            <w:topLinePunct w:val="0"/>
            <w:autoSpaceDE/>
            <w:autoSpaceDN/>
            <w:bidi w:val="0"/>
            <w:adjustRightInd/>
            <w:snapToGrid/>
            <w:spacing w:line="480" w:lineRule="exact"/>
            <w:textAlignment w:val="auto"/>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pPr>
          <w:r>
            <w:fldChar w:fldCharType="begin"/>
          </w:r>
          <w:r>
            <w:instrText xml:space="preserve"> HYPERLINK \l "_Toc159923272" </w:instrText>
          </w:r>
          <w: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五、一般公共预算当年拨款情况说明</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ab/>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begin"/>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instrText xml:space="preserve"> PAGEREF _Toc159923272 \h </w:instrTex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5</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p>
        <w:p>
          <w:pPr>
            <w:pStyle w:val="11"/>
            <w:pageBreakBefore w:val="0"/>
            <w:shd w:val="clear"/>
            <w:tabs>
              <w:tab w:val="right" w:leader="dot" w:pos="8835"/>
            </w:tabs>
            <w:kinsoku/>
            <w:wordWrap/>
            <w:overflowPunct/>
            <w:topLinePunct w:val="0"/>
            <w:autoSpaceDE/>
            <w:autoSpaceDN/>
            <w:bidi w:val="0"/>
            <w:adjustRightInd/>
            <w:snapToGrid/>
            <w:spacing w:line="480" w:lineRule="exact"/>
            <w:textAlignment w:val="auto"/>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pPr>
          <w:r>
            <w:fldChar w:fldCharType="begin"/>
          </w:r>
          <w:r>
            <w:instrText xml:space="preserve"> HYPERLINK \l "_Toc159923273" </w:instrText>
          </w:r>
          <w: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（一）一般公共预算当年拨款规模变化情况</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ab/>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begin"/>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instrText xml:space="preserve"> PAGEREF _Toc159923273 \h </w:instrTex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5</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p>
        <w:p>
          <w:pPr>
            <w:pStyle w:val="11"/>
            <w:pageBreakBefore w:val="0"/>
            <w:shd w:val="clear"/>
            <w:tabs>
              <w:tab w:val="right" w:leader="dot" w:pos="8835"/>
            </w:tabs>
            <w:kinsoku/>
            <w:wordWrap/>
            <w:overflowPunct/>
            <w:topLinePunct w:val="0"/>
            <w:autoSpaceDE/>
            <w:autoSpaceDN/>
            <w:bidi w:val="0"/>
            <w:adjustRightInd/>
            <w:snapToGrid/>
            <w:spacing w:line="480" w:lineRule="exact"/>
            <w:textAlignment w:val="auto"/>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pPr>
          <w:r>
            <w:fldChar w:fldCharType="begin"/>
          </w:r>
          <w:r>
            <w:instrText xml:space="preserve"> HYPERLINK \l "_Toc159923274" </w:instrText>
          </w:r>
          <w: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（二）一般公共预算当年拨款结构情况</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ab/>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begin"/>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instrText xml:space="preserve"> PAGEREF _Toc159923274 \h </w:instrTex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5</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p>
        <w:p>
          <w:pPr>
            <w:pStyle w:val="11"/>
            <w:pageBreakBefore w:val="0"/>
            <w:shd w:val="clear"/>
            <w:tabs>
              <w:tab w:val="right" w:leader="dot" w:pos="8835"/>
            </w:tabs>
            <w:kinsoku/>
            <w:wordWrap/>
            <w:overflowPunct/>
            <w:topLinePunct w:val="0"/>
            <w:autoSpaceDE/>
            <w:autoSpaceDN/>
            <w:bidi w:val="0"/>
            <w:adjustRightInd/>
            <w:snapToGrid/>
            <w:spacing w:line="480" w:lineRule="exact"/>
            <w:textAlignment w:val="auto"/>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pPr>
          <w:r>
            <w:fldChar w:fldCharType="begin"/>
          </w:r>
          <w:r>
            <w:instrText xml:space="preserve"> HYPERLINK \l "_Toc159923275" </w:instrText>
          </w:r>
          <w: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（三）一般公共预算当年拨款具体使用情况</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ab/>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begin"/>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instrText xml:space="preserve"> PAGEREF _Toc159923275 \h </w:instrTex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5</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p>
        <w:p>
          <w:pPr>
            <w:pStyle w:val="9"/>
            <w:pageBreakBefore w:val="0"/>
            <w:shd w:val="clear"/>
            <w:tabs>
              <w:tab w:val="right" w:leader="dot" w:pos="8835"/>
            </w:tabs>
            <w:kinsoku/>
            <w:wordWrap/>
            <w:overflowPunct/>
            <w:topLinePunct w:val="0"/>
            <w:autoSpaceDE/>
            <w:autoSpaceDN/>
            <w:bidi w:val="0"/>
            <w:adjustRightInd/>
            <w:snapToGrid/>
            <w:spacing w:line="480" w:lineRule="exact"/>
            <w:textAlignment w:val="auto"/>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pPr>
          <w:r>
            <w:fldChar w:fldCharType="begin"/>
          </w:r>
          <w:r>
            <w:instrText xml:space="preserve"> HYPERLINK \l "_Toc159923276" </w:instrText>
          </w:r>
          <w: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六、一般公共预算基本支出情况说明</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ab/>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begin"/>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instrText xml:space="preserve"> PAGEREF _Toc159923276 \h </w:instrTex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6</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p>
        <w:p>
          <w:pPr>
            <w:pStyle w:val="9"/>
            <w:pageBreakBefore w:val="0"/>
            <w:shd w:val="clear"/>
            <w:tabs>
              <w:tab w:val="right" w:leader="dot" w:pos="8835"/>
            </w:tabs>
            <w:kinsoku/>
            <w:wordWrap/>
            <w:overflowPunct/>
            <w:topLinePunct w:val="0"/>
            <w:autoSpaceDE/>
            <w:autoSpaceDN/>
            <w:bidi w:val="0"/>
            <w:adjustRightInd/>
            <w:snapToGrid/>
            <w:spacing w:line="480" w:lineRule="exact"/>
            <w:textAlignment w:val="auto"/>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pPr>
          <w:r>
            <w:fldChar w:fldCharType="begin"/>
          </w:r>
          <w:r>
            <w:instrText xml:space="preserve"> HYPERLINK \l "_Toc159923277" </w:instrText>
          </w:r>
          <w: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七、“三公”经费财政拨款预算安排情况说明</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ab/>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begin"/>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instrText xml:space="preserve"> PAGEREF _Toc159923277 \h </w:instrTex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6</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p>
        <w:p>
          <w:pPr>
            <w:pStyle w:val="9"/>
            <w:pageBreakBefore w:val="0"/>
            <w:shd w:val="clear"/>
            <w:tabs>
              <w:tab w:val="right" w:leader="dot" w:pos="8835"/>
            </w:tabs>
            <w:kinsoku/>
            <w:wordWrap/>
            <w:overflowPunct/>
            <w:topLinePunct w:val="0"/>
            <w:autoSpaceDE/>
            <w:autoSpaceDN/>
            <w:bidi w:val="0"/>
            <w:adjustRightInd/>
            <w:snapToGrid/>
            <w:spacing w:line="480" w:lineRule="exact"/>
            <w:textAlignment w:val="auto"/>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pPr>
          <w:r>
            <w:fldChar w:fldCharType="begin"/>
          </w:r>
          <w:r>
            <w:instrText xml:space="preserve"> HYPERLINK \l "_Toc159923278" </w:instrText>
          </w:r>
          <w: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八、政府性基金预算支出情况说明</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ab/>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begin"/>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instrText xml:space="preserve"> PAGEREF _Toc159923278 \h </w:instrTex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7</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p>
        <w:p>
          <w:pPr>
            <w:pStyle w:val="9"/>
            <w:pageBreakBefore w:val="0"/>
            <w:shd w:val="clear"/>
            <w:tabs>
              <w:tab w:val="right" w:leader="dot" w:pos="8835"/>
            </w:tabs>
            <w:kinsoku/>
            <w:wordWrap/>
            <w:overflowPunct/>
            <w:topLinePunct w:val="0"/>
            <w:autoSpaceDE/>
            <w:autoSpaceDN/>
            <w:bidi w:val="0"/>
            <w:adjustRightInd/>
            <w:snapToGrid/>
            <w:spacing w:line="480" w:lineRule="exact"/>
            <w:textAlignment w:val="auto"/>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pPr>
          <w:r>
            <w:fldChar w:fldCharType="begin"/>
          </w:r>
          <w:r>
            <w:instrText xml:space="preserve"> HYPERLINK \l "_Toc159923279" </w:instrText>
          </w:r>
          <w: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九、国有资本经营预算支出情况说明</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ab/>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begin"/>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instrText xml:space="preserve"> PAGEREF _Toc159923279 \h </w:instrTex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7</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p>
        <w:p>
          <w:pPr>
            <w:pStyle w:val="9"/>
            <w:pageBreakBefore w:val="0"/>
            <w:shd w:val="clear"/>
            <w:tabs>
              <w:tab w:val="right" w:leader="dot" w:pos="8835"/>
            </w:tabs>
            <w:kinsoku/>
            <w:wordWrap/>
            <w:overflowPunct/>
            <w:topLinePunct w:val="0"/>
            <w:autoSpaceDE/>
            <w:autoSpaceDN/>
            <w:bidi w:val="0"/>
            <w:adjustRightInd/>
            <w:snapToGrid/>
            <w:spacing w:line="480" w:lineRule="exact"/>
            <w:textAlignment w:val="auto"/>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pPr>
          <w:r>
            <w:fldChar w:fldCharType="begin"/>
          </w:r>
          <w:r>
            <w:instrText xml:space="preserve"> HYPERLINK \l "_Toc159923280" </w:instrText>
          </w:r>
          <w: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十、其他重要事项的情况说明</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ab/>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begin"/>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instrText xml:space="preserve"> PAGEREF _Toc159923280 \h </w:instrTex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7</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p>
        <w:p>
          <w:pPr>
            <w:pStyle w:val="9"/>
            <w:pageBreakBefore w:val="0"/>
            <w:shd w:val="clear"/>
            <w:tabs>
              <w:tab w:val="right" w:leader="dot" w:pos="8835"/>
            </w:tabs>
            <w:kinsoku/>
            <w:wordWrap/>
            <w:overflowPunct/>
            <w:topLinePunct w:val="0"/>
            <w:autoSpaceDE/>
            <w:autoSpaceDN/>
            <w:bidi w:val="0"/>
            <w:adjustRightInd/>
            <w:snapToGrid/>
            <w:spacing w:line="480" w:lineRule="exact"/>
            <w:textAlignment w:val="auto"/>
            <w:rPr>
              <w:rFonts w:cstheme="minorBidi"/>
              <w:kern w:val="2"/>
              <w:sz w:val="21"/>
            </w:rPr>
          </w:pPr>
          <w:r>
            <w:fldChar w:fldCharType="begin"/>
          </w:r>
          <w:r>
            <w:instrText xml:space="preserve"> HYPERLINK \l "_Toc159923281" </w:instrText>
          </w:r>
          <w: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十一、名词解释</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ab/>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begin"/>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instrText xml:space="preserve"> PAGEREF _Toc159923281 \h </w:instrTex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separate"/>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8</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fldChar w:fldCharType="end"/>
          </w:r>
        </w:p>
        <w:p>
          <w:pPr>
            <w:pageBreakBefore w:val="0"/>
            <w:shd w:val="clear"/>
            <w:kinsoku/>
            <w:wordWrap/>
            <w:overflowPunct/>
            <w:topLinePunct w:val="0"/>
            <w:autoSpaceDE/>
            <w:autoSpaceDN/>
            <w:bidi w:val="0"/>
            <w:adjustRightInd/>
            <w:snapToGrid/>
            <w:spacing w:line="480" w:lineRule="exact"/>
            <w:textAlignment w:val="auto"/>
            <w:rPr>
              <w:lang w:bidi="ar"/>
            </w:rPr>
          </w:pPr>
          <w:r>
            <w:rPr>
              <w:b/>
              <w:bCs/>
              <w:lang w:val="zh-CN"/>
            </w:rPr>
            <w:fldChar w:fldCharType="end"/>
          </w:r>
        </w:p>
      </w:sdtContent>
    </w:sdt>
    <w:p>
      <w:pPr>
        <w:pStyle w:val="22"/>
        <w:pageBreakBefore w:val="0"/>
        <w:widowControl w:val="0"/>
        <w:shd w:val="clear"/>
        <w:kinsoku/>
        <w:wordWrap/>
        <w:overflowPunct/>
        <w:topLinePunct w:val="0"/>
        <w:autoSpaceDE/>
        <w:autoSpaceDN/>
        <w:bidi w:val="0"/>
        <w:adjustRightInd/>
        <w:snapToGrid/>
        <w:spacing w:before="0" w:after="0"/>
        <w:ind w:firstLine="643"/>
        <w:textAlignment w:val="auto"/>
      </w:pPr>
      <w:bookmarkStart w:id="0" w:name="_Toc159923264"/>
      <w:r>
        <w:rPr>
          <w:rFonts w:hint="eastAsia"/>
        </w:rPr>
        <w:t>一、基本职能及主要工作</w:t>
      </w:r>
      <w:bookmarkEnd w:id="0"/>
    </w:p>
    <w:p>
      <w:pPr>
        <w:pStyle w:val="23"/>
        <w:pageBreakBefore w:val="0"/>
        <w:widowControl w:val="0"/>
        <w:shd w:val="clear"/>
        <w:kinsoku/>
        <w:wordWrap/>
        <w:overflowPunct/>
        <w:topLinePunct w:val="0"/>
        <w:autoSpaceDE/>
        <w:autoSpaceDN/>
        <w:bidi w:val="0"/>
        <w:adjustRightInd/>
        <w:snapToGrid/>
        <w:spacing w:before="0" w:after="0"/>
        <w:ind w:firstLine="643"/>
        <w:textAlignment w:val="auto"/>
      </w:pPr>
      <w:bookmarkStart w:id="1" w:name="_Toc159923265"/>
      <w:r>
        <w:rPr>
          <w:rFonts w:hint="eastAsia"/>
        </w:rPr>
        <w:t>（一）四川省广元市八二一中学职能简介</w:t>
      </w:r>
      <w:bookmarkEnd w:id="1"/>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四川省广元市八二一中学是市教育局直属学校，承担小学、初中和高中三个学段的教育教学工作。全面贯彻党的教育方针，依法治校，不断推进五育并举。坚持以德育为首位，以教学为中心，以多元发展为特色，以成才为目标，培养德、智、体、美、劳五个方面全面发展的社会主义合格公民。</w:t>
      </w:r>
    </w:p>
    <w:p>
      <w:pPr>
        <w:pStyle w:val="25"/>
        <w:pageBreakBefore w:val="0"/>
        <w:widowControl w:val="0"/>
        <w:shd w:val="clear"/>
        <w:kinsoku/>
        <w:wordWrap/>
        <w:overflowPunct/>
        <w:topLinePunct w:val="0"/>
        <w:autoSpaceDE/>
        <w:autoSpaceDN/>
        <w:bidi w:val="0"/>
        <w:adjustRightInd/>
        <w:snapToGrid/>
        <w:spacing w:before="0" w:after="0"/>
        <w:ind w:firstLine="643"/>
        <w:textAlignment w:val="auto"/>
      </w:pPr>
      <w:bookmarkStart w:id="2" w:name="_Toc159923266"/>
      <w:r>
        <w:rPr>
          <w:rFonts w:hint="eastAsia"/>
        </w:rPr>
        <w:t>（二）四川省广元市八二一中学2024年重点工作</w:t>
      </w:r>
      <w:bookmarkEnd w:id="2"/>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1.争创省二级示范学校，完善学校软硬件建设和特色文化项目打造。</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2.确立2024年为学校“教学质量提升年”，以提升质量为核心，促进学校内涵发展，提高教师教学素养。</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3.确立深化推进“导学议练悟”课堂教学模式改革，形成我校教学的特色和亮点。</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持续推进“科技+创新”办学特色建设，积极组织创客师生参与教育部白名单省市级各项创客比赛，重点项目无人机和超级轨迹项目。</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4.围绕“立德树人”根本任务，狠抓教育教学质量，开展《基于核工业精神的中小学立德树人策略研究》课题研究。</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5.初步推进学校学生宿舍建设项目。</w:t>
      </w:r>
    </w:p>
    <w:p>
      <w:pPr>
        <w:pStyle w:val="27"/>
        <w:pageBreakBefore w:val="0"/>
        <w:widowControl w:val="0"/>
        <w:shd w:val="clear"/>
        <w:kinsoku/>
        <w:wordWrap/>
        <w:overflowPunct/>
        <w:topLinePunct w:val="0"/>
        <w:autoSpaceDE/>
        <w:autoSpaceDN/>
        <w:bidi w:val="0"/>
        <w:adjustRightInd/>
        <w:snapToGrid/>
        <w:spacing w:before="0" w:after="0"/>
        <w:ind w:firstLine="643"/>
        <w:textAlignment w:val="auto"/>
      </w:pPr>
      <w:bookmarkStart w:id="3" w:name="_Toc159923267"/>
      <w:r>
        <w:rPr>
          <w:rFonts w:hint="eastAsia"/>
        </w:rPr>
        <w:t>二、部门预算单位构成</w:t>
      </w:r>
      <w:bookmarkEnd w:id="3"/>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我单位为广元市教育局的下属二级预算单位，本单位无下属机构，设有内设机构</w:t>
      </w:r>
      <w:r>
        <w:rPr>
          <w:rFonts w:ascii="仿宋_GB2312" w:hAnsi="仿宋_GB2312" w:eastAsia="仿宋_GB2312" w:cs="仿宋_GB2312"/>
          <w:sz w:val="32"/>
          <w:szCs w:val="32"/>
        </w:rPr>
        <w:t>14</w:t>
      </w:r>
      <w:r>
        <w:rPr>
          <w:rFonts w:hint="eastAsia" w:ascii="仿宋_GB2312" w:hAnsi="仿宋_GB2312" w:eastAsia="仿宋_GB2312" w:cs="仿宋_GB2312"/>
          <w:sz w:val="32"/>
          <w:szCs w:val="32"/>
        </w:rPr>
        <w:t>个，</w:t>
      </w:r>
      <w:r>
        <w:rPr>
          <w:rFonts w:hint="eastAsia" w:ascii="仿宋_GB2312" w:hAnsi="仿宋_GB2312" w:eastAsia="仿宋_GB2312"/>
          <w:sz w:val="32"/>
        </w:rPr>
        <w:t>党委办公室、纪检监察室、教务科、政教科、教科室、总务科、体卫艺科、安全办公室、工会、团委、少先队大队、财务中心、信息技术中心、宣传中心</w:t>
      </w:r>
      <w:r>
        <w:rPr>
          <w:rFonts w:hint="eastAsia" w:ascii="仿宋_GB2312" w:hAnsi="仿宋_GB2312" w:eastAsia="仿宋_GB2312" w:cs="仿宋_GB2312"/>
          <w:sz w:val="32"/>
          <w:szCs w:val="32"/>
        </w:rPr>
        <w:t>。</w:t>
      </w:r>
    </w:p>
    <w:p>
      <w:pPr>
        <w:pStyle w:val="27"/>
        <w:pageBreakBefore w:val="0"/>
        <w:widowControl w:val="0"/>
        <w:shd w:val="clear"/>
        <w:kinsoku/>
        <w:wordWrap/>
        <w:overflowPunct/>
        <w:topLinePunct w:val="0"/>
        <w:autoSpaceDE/>
        <w:autoSpaceDN/>
        <w:bidi w:val="0"/>
        <w:adjustRightInd/>
        <w:snapToGrid/>
        <w:spacing w:before="0" w:after="0"/>
        <w:ind w:firstLine="643"/>
        <w:textAlignment w:val="auto"/>
      </w:pPr>
      <w:bookmarkStart w:id="4" w:name="_Toc159923268"/>
      <w:r>
        <w:rPr>
          <w:rFonts w:hint="eastAsia"/>
        </w:rPr>
        <w:t>三、收支预算情况说明</w:t>
      </w:r>
      <w:bookmarkEnd w:id="4"/>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四川省广元市八二一中学所有收入和支出均纳入部门预算管理。收入包括：一般公共预算拨款收入、事业收入、其他收入；支出包括：教育支出、社会保障和就业支出、卫生健康支出、住房保障支出。四川省广元市八二一中学2024年收支预算总数4776.50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比2023年收支预算总数增加1021.62万元，主要原因是财政代管义务教育课后延时服务纳入预算，人员经费增加。</w:t>
      </w:r>
    </w:p>
    <w:p>
      <w:pPr>
        <w:pStyle w:val="23"/>
        <w:pageBreakBefore w:val="0"/>
        <w:widowControl w:val="0"/>
        <w:shd w:val="clear"/>
        <w:kinsoku/>
        <w:wordWrap/>
        <w:overflowPunct/>
        <w:topLinePunct w:val="0"/>
        <w:autoSpaceDE/>
        <w:autoSpaceDN/>
        <w:bidi w:val="0"/>
        <w:adjustRightInd/>
        <w:snapToGrid/>
        <w:spacing w:before="0" w:after="0"/>
        <w:ind w:firstLine="643"/>
        <w:textAlignment w:val="auto"/>
      </w:pPr>
      <w:bookmarkStart w:id="5" w:name="_Toc159923269"/>
      <w:r>
        <w:rPr>
          <w:rFonts w:hint="eastAsia"/>
        </w:rPr>
        <w:t>（一）收入预算情况</w:t>
      </w:r>
      <w:bookmarkEnd w:id="5"/>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sz w:val="32"/>
          <w:szCs w:val="32"/>
        </w:rPr>
        <w:t>四川省广元市八二一中学2024年收入预算4776.50万元，其中：一般公共预算拨款收入4021.5万元，占84.19%；事业收入290万元，占6.07%；其他收入465万元，占9.74%。</w:t>
      </w:r>
    </w:p>
    <w:p>
      <w:pPr>
        <w:pStyle w:val="23"/>
        <w:pageBreakBefore w:val="0"/>
        <w:widowControl w:val="0"/>
        <w:shd w:val="clear"/>
        <w:kinsoku/>
        <w:wordWrap/>
        <w:overflowPunct/>
        <w:topLinePunct w:val="0"/>
        <w:autoSpaceDE/>
        <w:autoSpaceDN/>
        <w:bidi w:val="0"/>
        <w:adjustRightInd/>
        <w:snapToGrid/>
        <w:spacing w:before="0" w:after="0"/>
        <w:ind w:firstLine="643"/>
        <w:textAlignment w:val="auto"/>
      </w:pPr>
      <w:bookmarkStart w:id="6" w:name="_Toc159923270"/>
      <w:r>
        <w:rPr>
          <w:rFonts w:hint="eastAsia"/>
        </w:rPr>
        <w:t>（二）支出预算情况</w:t>
      </w:r>
      <w:bookmarkEnd w:id="6"/>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sz w:val="32"/>
          <w:szCs w:val="32"/>
        </w:rPr>
        <w:t>四川省广元市八二一中学2024年支出预算4776.50万元，其中：基本支出4163.68万元，占87.17%；项目支出612.82万元，占12.83%。</w:t>
      </w:r>
    </w:p>
    <w:p>
      <w:pPr>
        <w:pStyle w:val="27"/>
        <w:pageBreakBefore w:val="0"/>
        <w:widowControl w:val="0"/>
        <w:shd w:val="clear"/>
        <w:kinsoku/>
        <w:wordWrap/>
        <w:overflowPunct/>
        <w:topLinePunct w:val="0"/>
        <w:autoSpaceDE/>
        <w:autoSpaceDN/>
        <w:bidi w:val="0"/>
        <w:adjustRightInd/>
        <w:snapToGrid/>
        <w:spacing w:before="0" w:after="0"/>
        <w:ind w:firstLine="643"/>
        <w:textAlignment w:val="auto"/>
      </w:pPr>
      <w:bookmarkStart w:id="7" w:name="_Toc159923271"/>
      <w:r>
        <w:rPr>
          <w:rFonts w:hint="eastAsia"/>
        </w:rPr>
        <w:t>四、财政拨款收支预算情况说明</w:t>
      </w:r>
      <w:bookmarkEnd w:id="7"/>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四川省广元市八二一中学2024年财政拨款收支预算总数4021.5万元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比2023年财政拨款收支预算总数增加276.62万元，主要原因是人员经费增加。</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收入包括：本年一般公共预算拨款收入4021.5万元；支出包括：教育支出3158.56万元、社会保障和就业支出421.35万元、卫生健康支出135.66万元、住房保障支出305.93万元。</w:t>
      </w:r>
    </w:p>
    <w:p>
      <w:pPr>
        <w:pStyle w:val="27"/>
        <w:pageBreakBefore w:val="0"/>
        <w:widowControl w:val="0"/>
        <w:shd w:val="clear"/>
        <w:kinsoku/>
        <w:wordWrap/>
        <w:overflowPunct/>
        <w:topLinePunct w:val="0"/>
        <w:autoSpaceDE/>
        <w:autoSpaceDN/>
        <w:bidi w:val="0"/>
        <w:adjustRightInd/>
        <w:snapToGrid/>
        <w:spacing w:before="0" w:after="0"/>
        <w:ind w:firstLine="643"/>
        <w:textAlignment w:val="auto"/>
      </w:pPr>
      <w:bookmarkStart w:id="8" w:name="_Toc159923272"/>
      <w:r>
        <w:rPr>
          <w:rFonts w:hint="eastAsia"/>
        </w:rPr>
        <w:t>五、一般公共预算当年拨款情况说明</w:t>
      </w:r>
      <w:bookmarkEnd w:id="8"/>
    </w:p>
    <w:p>
      <w:pPr>
        <w:pStyle w:val="23"/>
        <w:pageBreakBefore w:val="0"/>
        <w:widowControl w:val="0"/>
        <w:shd w:val="clear"/>
        <w:kinsoku/>
        <w:wordWrap/>
        <w:overflowPunct/>
        <w:topLinePunct w:val="0"/>
        <w:autoSpaceDE/>
        <w:autoSpaceDN/>
        <w:bidi w:val="0"/>
        <w:adjustRightInd/>
        <w:snapToGrid/>
        <w:spacing w:before="0" w:after="0"/>
        <w:ind w:firstLine="643"/>
        <w:textAlignment w:val="auto"/>
      </w:pPr>
      <w:bookmarkStart w:id="9" w:name="_Toc159923273"/>
      <w:r>
        <w:rPr>
          <w:rFonts w:hint="eastAsia"/>
        </w:rPr>
        <w:t>（一）一般公共预算当年拨款规模变化情况</w:t>
      </w:r>
      <w:bookmarkEnd w:id="9"/>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四川省广元市八二一中学2024年一般公共预算当年拨款4021.5万元，比2023年预算数增加276.62万元，主要原因是人员经费增加。</w:t>
      </w:r>
    </w:p>
    <w:p>
      <w:pPr>
        <w:pStyle w:val="23"/>
        <w:pageBreakBefore w:val="0"/>
        <w:widowControl w:val="0"/>
        <w:shd w:val="clear"/>
        <w:kinsoku/>
        <w:wordWrap/>
        <w:overflowPunct/>
        <w:topLinePunct w:val="0"/>
        <w:autoSpaceDE/>
        <w:autoSpaceDN/>
        <w:bidi w:val="0"/>
        <w:adjustRightInd/>
        <w:snapToGrid/>
        <w:spacing w:before="0" w:after="0"/>
        <w:ind w:firstLine="643"/>
        <w:textAlignment w:val="auto"/>
      </w:pPr>
      <w:bookmarkStart w:id="10" w:name="_Toc159923274"/>
      <w:r>
        <w:rPr>
          <w:rFonts w:hint="eastAsia"/>
        </w:rPr>
        <w:t>（二）一般公共预算当年拨款结构情况</w:t>
      </w:r>
      <w:bookmarkEnd w:id="10"/>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sz w:val="32"/>
          <w:szCs w:val="32"/>
        </w:rPr>
        <w:t>教育支出3158.56万元，占78.54%；社会保障和就业支出421.35万元，占10.48%；卫生健康支出135.66万元，占3.37%；住房保障支出305.93万元，占7.61%。</w:t>
      </w:r>
    </w:p>
    <w:p>
      <w:pPr>
        <w:pStyle w:val="23"/>
        <w:pageBreakBefore w:val="0"/>
        <w:widowControl w:val="0"/>
        <w:shd w:val="clear"/>
        <w:kinsoku/>
        <w:wordWrap/>
        <w:overflowPunct/>
        <w:topLinePunct w:val="0"/>
        <w:autoSpaceDE/>
        <w:autoSpaceDN/>
        <w:bidi w:val="0"/>
        <w:adjustRightInd/>
        <w:snapToGrid/>
        <w:spacing w:before="0" w:after="0"/>
        <w:ind w:firstLine="643"/>
        <w:textAlignment w:val="auto"/>
      </w:pPr>
      <w:bookmarkStart w:id="11" w:name="_Toc159923275"/>
      <w:r>
        <w:rPr>
          <w:rFonts w:hint="eastAsia"/>
        </w:rPr>
        <w:t>（三）一般公共预算当年拨款具体使用情况</w:t>
      </w:r>
      <w:bookmarkEnd w:id="11"/>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1.社会保障和就业（类）行政事业单位养老支出（款）机关事业单位基本养老保险缴费支出（项）2024年预算数为407.61万元，主要用于：实施养老保险制度由单位缴纳的基本养老保险支出。</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2.卫生健康（类）行政事业单位医疗（款）事业单位医疗（项）2024年预算数为135.66万元，主要用于：事业单位按规定由单位缴纳的基本医疗保险支出。</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3.住房保障（类）住房改革支出（款）住房公积金（项）2024年预算数为305.93万元，主要用于：部门按规定为职工缴纳的住房公积金支出。</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4.社会保障和就业（类）其他社会保障和就业支出（款）其他社会保障和就业支出（项）2024年预算数为13.75万元，主要用于：反映除上述项目以外其他用于社会保障和就业方面的支出。</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sz w:val="32"/>
          <w:szCs w:val="32"/>
        </w:rPr>
        <w:t>5.教育支出（类）普通教育（款）高中教育（项）2024年预算数为3158.56万元，主要用于：学校工资奖金津补贴、工会经费、福利费、其他商品和服务支出、对个人和家庭补助。</w:t>
      </w:r>
    </w:p>
    <w:p>
      <w:pPr>
        <w:pStyle w:val="27"/>
        <w:pageBreakBefore w:val="0"/>
        <w:widowControl w:val="0"/>
        <w:shd w:val="clear"/>
        <w:kinsoku/>
        <w:wordWrap/>
        <w:overflowPunct/>
        <w:topLinePunct w:val="0"/>
        <w:autoSpaceDE/>
        <w:autoSpaceDN/>
        <w:bidi w:val="0"/>
        <w:adjustRightInd/>
        <w:snapToGrid/>
        <w:spacing w:before="0" w:after="0"/>
        <w:ind w:firstLine="643"/>
        <w:textAlignment w:val="auto"/>
      </w:pPr>
      <w:bookmarkStart w:id="12" w:name="_Toc159923276"/>
      <w:r>
        <w:rPr>
          <w:rFonts w:hint="eastAsia"/>
        </w:rPr>
        <w:t>六、一般公共预算基本支出情况说明</w:t>
      </w:r>
      <w:bookmarkEnd w:id="12"/>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四川省广元市八二一中学2024年一般公共预算基本支出4,019.68万元，其中：</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人员经费3,894.50万元，主要包括：基本工资、津贴补贴、奖金、绩效工资、机关事业单位基本养老保险缴费、职工基本医疗保险缴费、其他社会保障缴费、住房公积金、生活补助等支出。</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sz w:val="32"/>
          <w:szCs w:val="32"/>
        </w:rPr>
        <w:t>公用经费125.19万元，主要包括：工会经费、福利费、党建经费、退休人员活动经费等支出。</w:t>
      </w:r>
    </w:p>
    <w:p>
      <w:pPr>
        <w:pStyle w:val="27"/>
        <w:pageBreakBefore w:val="0"/>
        <w:widowControl w:val="0"/>
        <w:shd w:val="clear"/>
        <w:kinsoku/>
        <w:wordWrap/>
        <w:overflowPunct/>
        <w:topLinePunct w:val="0"/>
        <w:autoSpaceDE/>
        <w:autoSpaceDN/>
        <w:bidi w:val="0"/>
        <w:adjustRightInd/>
        <w:snapToGrid/>
        <w:spacing w:before="0" w:after="0"/>
        <w:ind w:firstLine="643"/>
        <w:textAlignment w:val="auto"/>
      </w:pPr>
      <w:bookmarkStart w:id="13" w:name="_Toc159923277"/>
      <w:r>
        <w:rPr>
          <w:rFonts w:hint="eastAsia"/>
        </w:rPr>
        <w:t>七、“三公”经费财政拨款预算安排情况说明</w:t>
      </w:r>
      <w:bookmarkEnd w:id="13"/>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四川省广元市八二一中学2024年“三公”经费财政拨款预算数0万元，其中：公务接待费0万元，公务用车购置及运行维护费0万元，因公出国（境）经费0万元。</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（一）公务接待费</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公务接待费与2023年预算相比持平。</w:t>
      </w:r>
      <w:r>
        <w:rPr>
          <w:rFonts w:hint="eastAsia" w:ascii="仿宋_GB2312" w:hAnsi="仿宋_GB2312" w:eastAsia="仿宋_GB2312" w:cs="仿宋_GB2312"/>
          <w:sz w:val="32"/>
          <w:szCs w:val="32"/>
          <w:lang w:val="en-US" w:eastAsia="zh-CN"/>
        </w:rPr>
        <w:t>2024年无预算安排。</w:t>
      </w:r>
    </w:p>
    <w:p>
      <w:pPr>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公务用车购置及运行维护费</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sz w:val="32"/>
          <w:szCs w:val="32"/>
        </w:rPr>
        <w:t>公务用车购置及运行维护费与2023年预算相比持平。</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rPr>
        <w:t>单位现有公务用车1辆，其中：轿车1辆。</w:t>
      </w:r>
      <w:r>
        <w:rPr>
          <w:rFonts w:hint="eastAsia" w:ascii="仿宋_GB2312" w:hAnsi="仿宋_GB2312" w:eastAsia="仿宋_GB2312" w:cs="仿宋_GB2312"/>
          <w:sz w:val="32"/>
          <w:szCs w:val="32"/>
          <w:lang w:val="en-US" w:eastAsia="zh-CN"/>
        </w:rPr>
        <w:t>其经费来源为教育收费。</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2024年未安排公务用车购置费。</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2024年安排公务用车运行维护费0万元。</w:t>
      </w:r>
    </w:p>
    <w:p>
      <w:pPr>
        <w:pageBreakBefore w:val="0"/>
        <w:widowControl w:val="0"/>
        <w:shd w:val="clear"/>
        <w:kinsoku/>
        <w:wordWrap/>
        <w:overflowPunct/>
        <w:topLinePunct w:val="0"/>
        <w:autoSpaceDE/>
        <w:autoSpaceDN/>
        <w:bidi w:val="0"/>
        <w:adjustRightInd/>
        <w:snapToGrid/>
        <w:spacing w:line="576" w:lineRule="exac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楷体_GB2312" w:hAnsi="楷体_GB2312" w:eastAsia="楷体_GB2312" w:cs="楷体_GB2312"/>
          <w:sz w:val="32"/>
          <w:szCs w:val="32"/>
        </w:rPr>
        <w:t>三）因公出国（境）经费</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sz w:val="32"/>
          <w:szCs w:val="32"/>
        </w:rPr>
        <w:t>因公出国（境）经费与2023年预算相比持平。</w:t>
      </w:r>
      <w:r>
        <w:rPr>
          <w:rFonts w:hint="eastAsia" w:ascii="仿宋_GB2312" w:hAnsi="仿宋_GB2312" w:eastAsia="仿宋_GB2312" w:cs="仿宋_GB2312"/>
          <w:sz w:val="32"/>
          <w:szCs w:val="32"/>
          <w:lang w:val="en-US" w:eastAsia="zh-CN"/>
        </w:rPr>
        <w:t>2024年无预算安排。</w:t>
      </w:r>
      <w:bookmarkStart w:id="18" w:name="_GoBack"/>
      <w:bookmarkEnd w:id="18"/>
    </w:p>
    <w:p>
      <w:pPr>
        <w:pStyle w:val="27"/>
        <w:pageBreakBefore w:val="0"/>
        <w:widowControl w:val="0"/>
        <w:shd w:val="clear"/>
        <w:kinsoku/>
        <w:wordWrap/>
        <w:overflowPunct/>
        <w:topLinePunct w:val="0"/>
        <w:autoSpaceDE/>
        <w:autoSpaceDN/>
        <w:bidi w:val="0"/>
        <w:adjustRightInd/>
        <w:snapToGrid/>
        <w:spacing w:before="0" w:after="0"/>
        <w:ind w:firstLine="643"/>
        <w:textAlignment w:val="auto"/>
      </w:pPr>
      <w:bookmarkStart w:id="14" w:name="_Toc159923278"/>
      <w:r>
        <w:rPr>
          <w:rFonts w:hint="eastAsia"/>
        </w:rPr>
        <w:t>八、政府性基金预算支出情况说明</w:t>
      </w:r>
      <w:bookmarkEnd w:id="14"/>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四川省广元市八二一中学2024年无政府性基金预算拨款安排的支出。</w:t>
      </w:r>
    </w:p>
    <w:p>
      <w:pPr>
        <w:pStyle w:val="27"/>
        <w:pageBreakBefore w:val="0"/>
        <w:widowControl w:val="0"/>
        <w:shd w:val="clear"/>
        <w:kinsoku/>
        <w:wordWrap/>
        <w:overflowPunct/>
        <w:topLinePunct w:val="0"/>
        <w:autoSpaceDE/>
        <w:autoSpaceDN/>
        <w:bidi w:val="0"/>
        <w:adjustRightInd/>
        <w:snapToGrid/>
        <w:spacing w:before="0" w:after="0"/>
        <w:ind w:firstLine="643"/>
        <w:textAlignment w:val="auto"/>
      </w:pPr>
      <w:bookmarkStart w:id="15" w:name="_Toc159923279"/>
      <w:r>
        <w:rPr>
          <w:rFonts w:hint="eastAsia"/>
        </w:rPr>
        <w:t>九、国有资本经营预算支出情况说明</w:t>
      </w:r>
      <w:bookmarkEnd w:id="15"/>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四川省广元市八二一中学2024年无国有资本经营预算拨款安排的支出。</w:t>
      </w:r>
    </w:p>
    <w:p>
      <w:pPr>
        <w:pStyle w:val="27"/>
        <w:pageBreakBefore w:val="0"/>
        <w:widowControl w:val="0"/>
        <w:shd w:val="clear"/>
        <w:kinsoku/>
        <w:wordWrap/>
        <w:overflowPunct/>
        <w:topLinePunct w:val="0"/>
        <w:autoSpaceDE/>
        <w:autoSpaceDN/>
        <w:bidi w:val="0"/>
        <w:adjustRightInd/>
        <w:snapToGrid/>
        <w:spacing w:before="0" w:after="0"/>
        <w:ind w:firstLine="643"/>
        <w:textAlignment w:val="auto"/>
      </w:pPr>
      <w:bookmarkStart w:id="16" w:name="_Toc159923280"/>
      <w:r>
        <w:rPr>
          <w:rFonts w:hint="eastAsia"/>
        </w:rPr>
        <w:t>十、其他重要事项的情况说明</w:t>
      </w:r>
      <w:bookmarkEnd w:id="16"/>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（一）机关运行经费</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2024年，四川省广元市八二一中学为事业单位，按规定未使用机关运行的相关科目。</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（二）政府采购情况</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2024年，四川省广元市八二一中学安排政府采购预算0万元。</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截至2023年底，四川省广元市八二一中学共有车辆1辆。单位无价值200万元以上的大型设备。</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2024年部门预算未安排购置车辆及单位价值200万元以上大型设备。</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（四）绩效目标设置情况</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2024年四川省广元市八二一中学开展绩效目标管理的项目14个，涉及预算</w:t>
      </w:r>
      <w:r>
        <w:rPr>
          <w:rFonts w:ascii="仿宋_GB2312" w:hAnsi="仿宋_GB2312" w:eastAsia="仿宋_GB2312" w:cs="仿宋_GB2312"/>
          <w:sz w:val="32"/>
          <w:szCs w:val="32"/>
        </w:rPr>
        <w:t>4776.50</w:t>
      </w:r>
      <w:r>
        <w:rPr>
          <w:rFonts w:hint="eastAsia" w:ascii="仿宋_GB2312" w:hAnsi="仿宋_GB2312" w:eastAsia="仿宋_GB2312" w:cs="仿宋_GB2312"/>
          <w:sz w:val="32"/>
          <w:szCs w:val="32"/>
        </w:rPr>
        <w:t>万元。其中：人员类项目6个，涉及预算 3933.49万元；运转类项目3个，涉及预算230.19万元；特定目标类项目5个，涉及预算612.82万元。</w:t>
      </w:r>
    </w:p>
    <w:p>
      <w:pPr>
        <w:pStyle w:val="27"/>
        <w:pageBreakBefore w:val="0"/>
        <w:widowControl w:val="0"/>
        <w:shd w:val="clear"/>
        <w:kinsoku/>
        <w:wordWrap/>
        <w:overflowPunct/>
        <w:topLinePunct w:val="0"/>
        <w:autoSpaceDE/>
        <w:autoSpaceDN/>
        <w:bidi w:val="0"/>
        <w:adjustRightInd/>
        <w:snapToGrid/>
        <w:spacing w:before="0" w:after="0"/>
        <w:ind w:firstLine="643"/>
        <w:textAlignment w:val="auto"/>
      </w:pPr>
      <w:bookmarkStart w:id="17" w:name="_Toc159923281"/>
      <w:r>
        <w:rPr>
          <w:rFonts w:hint="eastAsia"/>
        </w:rPr>
        <w:t>十一、名词解释</w:t>
      </w:r>
      <w:bookmarkEnd w:id="17"/>
    </w:p>
    <w:p>
      <w:pPr>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财政拨款收入</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rPr>
        <w:t>指市财政当年安排的财政预算收入。按现行管理制度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部门预算中反映的财政拨款包括一般公共预算拨款和政府性基金预算拨款。</w:t>
      </w:r>
    </w:p>
    <w:p>
      <w:pPr>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ascii="仿宋_GB2312" w:hAnsi="仿宋_GB2312" w:eastAsia="仿宋_GB2312" w:cs="仿宋_GB2312"/>
          <w:b/>
          <w:bCs/>
          <w:sz w:val="32"/>
          <w:szCs w:val="32"/>
        </w:rPr>
      </w:pPr>
      <w:r>
        <w:rPr>
          <w:rFonts w:hint="eastAsia" w:ascii="楷体_GB2312" w:hAnsi="楷体_GB2312" w:eastAsia="楷体_GB2312" w:cs="楷体_GB2312"/>
          <w:sz w:val="32"/>
          <w:szCs w:val="32"/>
        </w:rPr>
        <w:t>事业收入：</w:t>
      </w:r>
      <w:r>
        <w:rPr>
          <w:rFonts w:hint="eastAsia" w:ascii="仿宋_GB2312" w:hAnsi="仿宋_GB2312" w:eastAsia="仿宋_GB2312" w:cs="仿宋_GB2312"/>
          <w:sz w:val="32"/>
          <w:szCs w:val="32"/>
        </w:rPr>
        <w:t>指事业单位开展专业业务活动及辅助活动所取得的收入。主要为学校根据国家有关部门批准的项目和标准收取的学费、住宿费等。</w:t>
      </w:r>
    </w:p>
    <w:p>
      <w:pPr>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其他收入：</w:t>
      </w:r>
      <w:r>
        <w:rPr>
          <w:rFonts w:hint="eastAsia" w:ascii="仿宋_GB2312" w:hAnsi="仿宋_GB2312" w:eastAsia="仿宋_GB2312" w:cs="仿宋_GB2312"/>
          <w:sz w:val="32"/>
          <w:szCs w:val="32"/>
        </w:rPr>
        <w:t>指除上述“一般公共预算拨款收入” “事业收入”等以外的收入。如义务教育课后延时服务收入。</w:t>
      </w:r>
    </w:p>
    <w:p>
      <w:pPr>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教育（类）普通教育（款）高中教育（项）：</w:t>
      </w:r>
      <w:r>
        <w:rPr>
          <w:rFonts w:hint="eastAsia" w:ascii="仿宋_GB2312" w:hAnsi="仿宋_GB2312" w:eastAsia="仿宋_GB2312" w:cs="仿宋_GB2312"/>
          <w:sz w:val="32"/>
          <w:szCs w:val="32"/>
        </w:rPr>
        <w:t>指各部门举办的高级中学教育支出。</w:t>
      </w:r>
    </w:p>
    <w:p>
      <w:pPr>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社会保障和就业（类）行政事业单位养老支出（款）机关事业单位基本养老保险缴费支出（项）：</w:t>
      </w:r>
      <w:r>
        <w:rPr>
          <w:rFonts w:hint="eastAsia" w:ascii="仿宋_GB2312" w:hAnsi="仿宋_GB2312" w:eastAsia="仿宋_GB2312" w:cs="仿宋_GB2312"/>
          <w:sz w:val="32"/>
          <w:szCs w:val="32"/>
        </w:rPr>
        <w:t>指部门实施养老保险制度由单位缴纳的养老保险的支出。</w:t>
      </w:r>
    </w:p>
    <w:p>
      <w:pPr>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社会保障和就业（类）其他社会保障和就业支出（款）其他社会保障和就业支出（项）：</w:t>
      </w:r>
      <w:r>
        <w:rPr>
          <w:rFonts w:hint="eastAsia" w:ascii="仿宋_GB2312" w:hAnsi="仿宋_GB2312" w:eastAsia="仿宋_GB2312" w:cs="仿宋_GB2312"/>
          <w:sz w:val="32"/>
          <w:szCs w:val="32"/>
        </w:rPr>
        <w:t>指机关事业单位其他用于其他社会保障和就业方面的支出。</w:t>
      </w:r>
    </w:p>
    <w:p>
      <w:pPr>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卫生健康（类）行政事业单位医疗（款）事业单位医疗（项）：</w:t>
      </w:r>
      <w:r>
        <w:rPr>
          <w:rFonts w:hint="eastAsia" w:ascii="仿宋_GB2312" w:hAnsi="仿宋_GB2312" w:eastAsia="仿宋_GB2312" w:cs="仿宋_GB2312"/>
          <w:sz w:val="32"/>
          <w:szCs w:val="32"/>
        </w:rPr>
        <w:t>指事业单位用于单位应缴纳基本医疗保险支出。</w:t>
      </w:r>
    </w:p>
    <w:p>
      <w:pPr>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住房保障（类）住房改革支出（款）住房公积金（项）：</w:t>
      </w:r>
      <w:r>
        <w:rPr>
          <w:rFonts w:hint="eastAsia" w:ascii="仿宋_GB2312" w:hAnsi="仿宋_GB2312" w:eastAsia="仿宋_GB2312" w:cs="仿宋_GB2312"/>
          <w:sz w:val="32"/>
          <w:szCs w:val="32"/>
        </w:rPr>
        <w:t>指按照《住房公积金管理条例》的规定，由单位及其在职职工缴存的长期住房储金。</w:t>
      </w:r>
    </w:p>
    <w:p>
      <w:pPr>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基本支出：</w:t>
      </w:r>
      <w:r>
        <w:rPr>
          <w:rFonts w:hint="eastAsia" w:ascii="仿宋_GB2312" w:hAnsi="仿宋_GB2312" w:eastAsia="仿宋_GB2312" w:cs="仿宋_GB2312"/>
          <w:sz w:val="32"/>
          <w:szCs w:val="32"/>
        </w:rPr>
        <w:t>指为保证机构正常运转，完成日常工作任务而发生的人员支出和公用支出。</w:t>
      </w:r>
    </w:p>
    <w:p>
      <w:pPr>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项目支出：</w:t>
      </w:r>
      <w:r>
        <w:rPr>
          <w:rFonts w:hint="eastAsia" w:ascii="仿宋_GB2312" w:hAnsi="仿宋_GB2312" w:eastAsia="仿宋_GB2312" w:cs="仿宋_GB2312"/>
          <w:sz w:val="32"/>
          <w:szCs w:val="32"/>
        </w:rPr>
        <w:t>指在基本支出之外为完成特定行政任务和事业发展目标所发生的支出。</w:t>
      </w:r>
    </w:p>
    <w:p>
      <w:pPr>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“三公”经费：</w:t>
      </w:r>
      <w:r>
        <w:rPr>
          <w:rFonts w:hint="eastAsia" w:ascii="仿宋_GB2312" w:hAnsi="仿宋_GB2312" w:eastAsia="仿宋_GB2312" w:cs="仿宋_GB2312"/>
          <w:sz w:val="32"/>
          <w:szCs w:val="32"/>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p>
    <w:p>
      <w:pPr>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附件：部门预算公开表</w:t>
      </w:r>
    </w:p>
    <w:sectPr>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Liberation Sans">
    <w:altName w:val="Segoe Print"/>
    <w:panose1 w:val="00000000000000000000"/>
    <w:charset w:val="00"/>
    <w:family w:val="swiss"/>
    <w:pitch w:val="default"/>
    <w:sig w:usb0="00000000" w:usb1="00000000" w:usb2="00000000" w:usb3="00000000" w:csb0="6000009F" w:csb1="DFD70000"/>
  </w:font>
  <w:font w:name="Noto Sans CJK SC Regular">
    <w:altName w:val="宋体"/>
    <w:panose1 w:val="00000000000000000000"/>
    <w:charset w:val="86"/>
    <w:family w:val="auto"/>
    <w:pitch w:val="default"/>
    <w:sig w:usb0="00000000" w:usb1="00000000" w:usb2="00000016" w:usb3="00000000" w:csb0="602E0107"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10</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7"/>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10</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5D3C74"/>
    <w:multiLevelType w:val="singleLevel"/>
    <w:tmpl w:val="2D5D3C74"/>
    <w:lvl w:ilvl="0" w:tentative="0">
      <w:start w:val="1"/>
      <w:numFmt w:val="chineseCounting"/>
      <w:suff w:val="nothing"/>
      <w:lvlText w:val="（%1）"/>
      <w:lvlJc w:val="left"/>
      <w:pPr>
        <w:ind w:left="0" w:firstLine="420"/>
      </w:pPr>
      <w:rPr>
        <w:rFonts w:hint="eastAsia"/>
        <w:b w:val="0"/>
        <w:bCs w:val="0"/>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JmNTAxYTA0NTllZTU0OWY5NWY0MWNlMzBjNGU2OTYifQ=="/>
    <w:docVar w:name="KSO_WPS_MARK_KEY" w:val="6e50d98a-079d-46c9-ba3c-25a0ad54b45b"/>
  </w:docVars>
  <w:rsids>
    <w:rsidRoot w:val="0054096D"/>
    <w:rsid w:val="000B65AF"/>
    <w:rsid w:val="001667FB"/>
    <w:rsid w:val="001D40F0"/>
    <w:rsid w:val="00233567"/>
    <w:rsid w:val="004C6DA0"/>
    <w:rsid w:val="004D7FDC"/>
    <w:rsid w:val="004E6852"/>
    <w:rsid w:val="0054096D"/>
    <w:rsid w:val="005813B0"/>
    <w:rsid w:val="005E0E21"/>
    <w:rsid w:val="006C387A"/>
    <w:rsid w:val="00AD6C76"/>
    <w:rsid w:val="00B7009E"/>
    <w:rsid w:val="00C43358"/>
    <w:rsid w:val="00CD494A"/>
    <w:rsid w:val="00D21C08"/>
    <w:rsid w:val="00D76204"/>
    <w:rsid w:val="00F67D38"/>
    <w:rsid w:val="012352D1"/>
    <w:rsid w:val="1D9F113A"/>
    <w:rsid w:val="1F7BF06F"/>
    <w:rsid w:val="1FEE4B73"/>
    <w:rsid w:val="23CE9849"/>
    <w:rsid w:val="30317D95"/>
    <w:rsid w:val="30955567"/>
    <w:rsid w:val="372799D5"/>
    <w:rsid w:val="39F304DD"/>
    <w:rsid w:val="414F2048"/>
    <w:rsid w:val="509179ED"/>
    <w:rsid w:val="54244390"/>
    <w:rsid w:val="54662A63"/>
    <w:rsid w:val="58064E12"/>
    <w:rsid w:val="59273FA0"/>
    <w:rsid w:val="5BFEE015"/>
    <w:rsid w:val="63EDCF55"/>
    <w:rsid w:val="63FBFBCF"/>
    <w:rsid w:val="669360FD"/>
    <w:rsid w:val="68FF6A83"/>
    <w:rsid w:val="6AEF6005"/>
    <w:rsid w:val="6E3DB48E"/>
    <w:rsid w:val="6FBBC9CF"/>
    <w:rsid w:val="72BDE561"/>
    <w:rsid w:val="78462278"/>
    <w:rsid w:val="7997EA6C"/>
    <w:rsid w:val="7AEAE675"/>
    <w:rsid w:val="7BAFCE5D"/>
    <w:rsid w:val="7D46598C"/>
    <w:rsid w:val="7D9F8F0F"/>
    <w:rsid w:val="7DFB240B"/>
    <w:rsid w:val="7DFE05E7"/>
    <w:rsid w:val="7E0935ED"/>
    <w:rsid w:val="7FCF2AF7"/>
    <w:rsid w:val="9FEF033D"/>
    <w:rsid w:val="A27FF1E5"/>
    <w:rsid w:val="AF3FEDDD"/>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88D0DC7"/>
    <w:rsid w:val="FAE4EFE1"/>
    <w:rsid w:val="FB9B6F12"/>
    <w:rsid w:val="FBB66A4A"/>
    <w:rsid w:val="FDEE6989"/>
    <w:rsid w:val="FF5E7DB8"/>
    <w:rsid w:val="FF77E367"/>
    <w:rsid w:val="FFD576EB"/>
    <w:rsid w:val="FFDB1578"/>
    <w:rsid w:val="FFFADE43"/>
    <w:rsid w:val="FFFBE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2">
    <w:name w:val="heading 1"/>
    <w:basedOn w:val="1"/>
    <w:next w:val="1"/>
    <w:link w:val="1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4">
    <w:name w:val="caption"/>
    <w:basedOn w:val="1"/>
    <w:next w:val="1"/>
    <w:qFormat/>
    <w:uiPriority w:val="0"/>
    <w:pPr>
      <w:suppressLineNumbers/>
      <w:spacing w:before="120" w:after="120"/>
    </w:pPr>
    <w:rPr>
      <w:i/>
      <w:iCs/>
      <w:sz w:val="24"/>
    </w:rPr>
  </w:style>
  <w:style w:type="paragraph" w:styleId="5">
    <w:name w:val="Body Text"/>
    <w:basedOn w:val="1"/>
    <w:qFormat/>
    <w:uiPriority w:val="0"/>
    <w:pPr>
      <w:spacing w:after="140" w:line="276" w:lineRule="auto"/>
    </w:pPr>
  </w:style>
  <w:style w:type="paragraph" w:styleId="6">
    <w:name w:val="toc 3"/>
    <w:basedOn w:val="1"/>
    <w:next w:val="1"/>
    <w:unhideWhenUsed/>
    <w:qFormat/>
    <w:uiPriority w:val="39"/>
    <w:pPr>
      <w:widowControl/>
      <w:suppressAutoHyphens w:val="0"/>
      <w:spacing w:after="100" w:line="259" w:lineRule="auto"/>
      <w:ind w:left="440"/>
      <w:jc w:val="left"/>
    </w:pPr>
    <w:rPr>
      <w:rFonts w:asciiTheme="minorHAnsi" w:hAnsiTheme="minorHAnsi" w:eastAsiaTheme="minorEastAsia"/>
      <w:kern w:val="0"/>
      <w:sz w:val="22"/>
      <w:szCs w:val="22"/>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unhideWhenUsed/>
    <w:qFormat/>
    <w:uiPriority w:val="39"/>
    <w:pPr>
      <w:widowControl/>
      <w:suppressAutoHyphens w:val="0"/>
      <w:spacing w:after="100" w:line="259" w:lineRule="auto"/>
      <w:jc w:val="left"/>
    </w:pPr>
    <w:rPr>
      <w:rFonts w:asciiTheme="minorHAnsi" w:hAnsiTheme="minorHAnsi" w:eastAsiaTheme="minorEastAsia"/>
      <w:kern w:val="0"/>
      <w:sz w:val="22"/>
      <w:szCs w:val="22"/>
    </w:rPr>
  </w:style>
  <w:style w:type="paragraph" w:styleId="10">
    <w:name w:val="List"/>
    <w:basedOn w:val="5"/>
    <w:qFormat/>
    <w:uiPriority w:val="0"/>
  </w:style>
  <w:style w:type="paragraph" w:styleId="11">
    <w:name w:val="toc 2"/>
    <w:basedOn w:val="1"/>
    <w:next w:val="1"/>
    <w:unhideWhenUsed/>
    <w:uiPriority w:val="39"/>
    <w:pPr>
      <w:widowControl/>
      <w:suppressAutoHyphens w:val="0"/>
      <w:spacing w:after="100" w:line="259" w:lineRule="auto"/>
      <w:ind w:left="220"/>
      <w:jc w:val="left"/>
    </w:pPr>
    <w:rPr>
      <w:rFonts w:asciiTheme="minorHAnsi" w:hAnsiTheme="minorHAnsi" w:eastAsiaTheme="minorEastAsia"/>
      <w:kern w:val="0"/>
      <w:sz w:val="22"/>
      <w:szCs w:val="22"/>
    </w:rPr>
  </w:style>
  <w:style w:type="paragraph" w:styleId="12">
    <w:name w:val="Normal (Web)"/>
    <w:basedOn w:val="1"/>
    <w:qFormat/>
    <w:uiPriority w:val="0"/>
    <w:rPr>
      <w:sz w:val="24"/>
    </w:rPr>
  </w:style>
  <w:style w:type="character" w:styleId="15">
    <w:name w:val="Hyperlink"/>
    <w:basedOn w:val="14"/>
    <w:unhideWhenUsed/>
    <w:qFormat/>
    <w:uiPriority w:val="99"/>
    <w:rPr>
      <w:color w:val="0000FF" w:themeColor="hyperlink"/>
      <w:u w:val="single"/>
      <w14:textFill>
        <w14:solidFill>
          <w14:schemeClr w14:val="hlink"/>
        </w14:solidFill>
      </w14:textFill>
    </w:rPr>
  </w:style>
  <w:style w:type="character" w:customStyle="1" w:styleId="16">
    <w:name w:val="默认段落字体1"/>
    <w:qFormat/>
    <w:uiPriority w:val="0"/>
  </w:style>
  <w:style w:type="paragraph" w:customStyle="1" w:styleId="17">
    <w:name w:val="Heading"/>
    <w:basedOn w:val="1"/>
    <w:next w:val="5"/>
    <w:qFormat/>
    <w:uiPriority w:val="0"/>
    <w:pPr>
      <w:keepNext/>
      <w:spacing w:before="240" w:after="120"/>
    </w:pPr>
    <w:rPr>
      <w:rFonts w:ascii="Liberation Sans" w:hAnsi="Liberation Sans" w:eastAsia="Noto Sans CJK SC Regular" w:cs="Noto Sans CJK SC Regular"/>
      <w:sz w:val="28"/>
      <w:szCs w:val="28"/>
    </w:rPr>
  </w:style>
  <w:style w:type="paragraph" w:customStyle="1" w:styleId="18">
    <w:name w:val="Index"/>
    <w:basedOn w:val="1"/>
    <w:qFormat/>
    <w:uiPriority w:val="0"/>
    <w:pPr>
      <w:suppressLineNumbers/>
    </w:pPr>
  </w:style>
  <w:style w:type="character" w:customStyle="1" w:styleId="19">
    <w:name w:val="标题 1 字符"/>
    <w:basedOn w:val="14"/>
    <w:link w:val="2"/>
    <w:qFormat/>
    <w:uiPriority w:val="0"/>
    <w:rPr>
      <w:rFonts w:ascii="Calibri" w:hAnsi="Calibri"/>
      <w:b/>
      <w:bCs/>
      <w:kern w:val="44"/>
      <w:sz w:val="44"/>
      <w:szCs w:val="44"/>
    </w:rPr>
  </w:style>
  <w:style w:type="paragraph" w:customStyle="1" w:styleId="20">
    <w:name w:val="TOC Heading"/>
    <w:basedOn w:val="2"/>
    <w:next w:val="1"/>
    <w:unhideWhenUsed/>
    <w:qFormat/>
    <w:uiPriority w:val="39"/>
    <w:pPr>
      <w:widowControl/>
      <w:suppressAutoHyphens w:val="0"/>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1">
    <w:name w:val="标题 2 字符"/>
    <w:basedOn w:val="14"/>
    <w:link w:val="3"/>
    <w:uiPriority w:val="0"/>
    <w:rPr>
      <w:rFonts w:asciiTheme="majorHAnsi" w:hAnsiTheme="majorHAnsi" w:eastAsiaTheme="majorEastAsia" w:cstheme="majorBidi"/>
      <w:b/>
      <w:bCs/>
      <w:kern w:val="2"/>
      <w:sz w:val="32"/>
      <w:szCs w:val="32"/>
    </w:rPr>
  </w:style>
  <w:style w:type="paragraph" w:customStyle="1" w:styleId="22">
    <w:name w:val="样式1"/>
    <w:basedOn w:val="2"/>
    <w:link w:val="24"/>
    <w:qFormat/>
    <w:uiPriority w:val="0"/>
    <w:pPr>
      <w:spacing w:line="576" w:lineRule="exact"/>
      <w:ind w:firstLine="640" w:firstLineChars="200"/>
    </w:pPr>
    <w:rPr>
      <w:rFonts w:ascii="黑体" w:hAnsi="黑体" w:eastAsia="黑体" w:cs="黑体"/>
      <w:sz w:val="32"/>
      <w:szCs w:val="32"/>
    </w:rPr>
  </w:style>
  <w:style w:type="paragraph" w:customStyle="1" w:styleId="23">
    <w:name w:val="样式2"/>
    <w:basedOn w:val="3"/>
    <w:link w:val="26"/>
    <w:qFormat/>
    <w:uiPriority w:val="0"/>
    <w:pPr>
      <w:spacing w:line="576" w:lineRule="exact"/>
      <w:ind w:firstLine="640" w:firstLineChars="200"/>
    </w:pPr>
    <w:rPr>
      <w:rFonts w:ascii="楷体_GB2312" w:hAnsi="楷体_GB2312" w:eastAsia="楷体_GB2312" w:cs="楷体_GB2312"/>
    </w:rPr>
  </w:style>
  <w:style w:type="character" w:customStyle="1" w:styleId="24">
    <w:name w:val="样式1 字符"/>
    <w:basedOn w:val="19"/>
    <w:link w:val="22"/>
    <w:qFormat/>
    <w:uiPriority w:val="0"/>
    <w:rPr>
      <w:rFonts w:ascii="黑体" w:hAnsi="黑体" w:eastAsia="黑体" w:cs="黑体"/>
      <w:kern w:val="44"/>
      <w:sz w:val="32"/>
      <w:szCs w:val="32"/>
    </w:rPr>
  </w:style>
  <w:style w:type="paragraph" w:customStyle="1" w:styleId="25">
    <w:name w:val="样式3"/>
    <w:basedOn w:val="3"/>
    <w:link w:val="28"/>
    <w:qFormat/>
    <w:uiPriority w:val="0"/>
    <w:pPr>
      <w:spacing w:line="576" w:lineRule="exact"/>
      <w:ind w:firstLine="640" w:firstLineChars="200"/>
    </w:pPr>
    <w:rPr>
      <w:rFonts w:ascii="楷体_GB2312" w:hAnsi="楷体_GB2312" w:eastAsia="楷体_GB2312" w:cs="楷体_GB2312"/>
    </w:rPr>
  </w:style>
  <w:style w:type="character" w:customStyle="1" w:styleId="26">
    <w:name w:val="样式2 字符"/>
    <w:basedOn w:val="21"/>
    <w:link w:val="23"/>
    <w:uiPriority w:val="0"/>
    <w:rPr>
      <w:rFonts w:ascii="楷体_GB2312" w:hAnsi="楷体_GB2312" w:eastAsia="楷体_GB2312" w:cs="楷体_GB2312"/>
      <w:kern w:val="2"/>
      <w:sz w:val="32"/>
      <w:szCs w:val="32"/>
    </w:rPr>
  </w:style>
  <w:style w:type="paragraph" w:customStyle="1" w:styleId="27">
    <w:name w:val="样式4"/>
    <w:basedOn w:val="2"/>
    <w:link w:val="30"/>
    <w:qFormat/>
    <w:uiPriority w:val="0"/>
    <w:pPr>
      <w:spacing w:line="576" w:lineRule="exact"/>
      <w:ind w:firstLine="640" w:firstLineChars="200"/>
    </w:pPr>
    <w:rPr>
      <w:rFonts w:ascii="黑体" w:hAnsi="黑体" w:eastAsia="黑体" w:cs="黑体"/>
      <w:sz w:val="32"/>
      <w:szCs w:val="32"/>
    </w:rPr>
  </w:style>
  <w:style w:type="character" w:customStyle="1" w:styleId="28">
    <w:name w:val="样式3 字符"/>
    <w:basedOn w:val="21"/>
    <w:link w:val="25"/>
    <w:qFormat/>
    <w:uiPriority w:val="0"/>
    <w:rPr>
      <w:rFonts w:ascii="楷体_GB2312" w:hAnsi="楷体_GB2312" w:eastAsia="楷体_GB2312" w:cs="楷体_GB2312"/>
      <w:kern w:val="2"/>
      <w:sz w:val="32"/>
      <w:szCs w:val="32"/>
    </w:rPr>
  </w:style>
  <w:style w:type="paragraph" w:customStyle="1" w:styleId="29">
    <w:name w:val="样式5"/>
    <w:basedOn w:val="1"/>
    <w:next w:val="22"/>
    <w:link w:val="32"/>
    <w:qFormat/>
    <w:uiPriority w:val="0"/>
    <w:pPr>
      <w:spacing w:line="576" w:lineRule="exact"/>
      <w:ind w:firstLine="640" w:firstLineChars="200"/>
    </w:pPr>
    <w:rPr>
      <w:rFonts w:ascii="黑体" w:hAnsi="黑体" w:eastAsia="黑体" w:cs="黑体"/>
      <w:sz w:val="32"/>
      <w:szCs w:val="32"/>
    </w:rPr>
  </w:style>
  <w:style w:type="character" w:customStyle="1" w:styleId="30">
    <w:name w:val="样式4 字符"/>
    <w:basedOn w:val="19"/>
    <w:link w:val="27"/>
    <w:qFormat/>
    <w:uiPriority w:val="0"/>
    <w:rPr>
      <w:rFonts w:ascii="黑体" w:hAnsi="黑体" w:eastAsia="黑体" w:cs="黑体"/>
      <w:kern w:val="44"/>
      <w:sz w:val="32"/>
      <w:szCs w:val="32"/>
    </w:rPr>
  </w:style>
  <w:style w:type="paragraph" w:customStyle="1" w:styleId="31">
    <w:name w:val="样式6"/>
    <w:basedOn w:val="29"/>
    <w:next w:val="22"/>
    <w:link w:val="33"/>
    <w:qFormat/>
    <w:uiPriority w:val="0"/>
  </w:style>
  <w:style w:type="character" w:customStyle="1" w:styleId="32">
    <w:name w:val="样式5 字符"/>
    <w:basedOn w:val="14"/>
    <w:link w:val="29"/>
    <w:qFormat/>
    <w:uiPriority w:val="0"/>
    <w:rPr>
      <w:rFonts w:ascii="黑体" w:hAnsi="黑体" w:eastAsia="黑体" w:cs="黑体"/>
      <w:kern w:val="2"/>
      <w:sz w:val="32"/>
      <w:szCs w:val="32"/>
    </w:rPr>
  </w:style>
  <w:style w:type="character" w:customStyle="1" w:styleId="33">
    <w:name w:val="样式6 字符"/>
    <w:basedOn w:val="32"/>
    <w:link w:val="31"/>
    <w:qFormat/>
    <w:uiPriority w:val="0"/>
    <w:rPr>
      <w:rFonts w:ascii="黑体" w:hAnsi="黑体" w:eastAsia="黑体" w:cs="黑体"/>
      <w:kern w:val="2"/>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A82BFA-018D-48D0-AF90-C4A1C14FDD5C}">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3392</Words>
  <Characters>3723</Characters>
  <Lines>35</Lines>
  <Paragraphs>9</Paragraphs>
  <TotalTime>0</TotalTime>
  <ScaleCrop>false</ScaleCrop>
  <LinksUpToDate>false</LinksUpToDate>
  <CharactersWithSpaces>3786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2024-02-21T12:31:00Z</dcterms:created>
  <dc:creator>admin</dc:creator>
  <cp:lastModifiedBy>dell</cp:lastModifiedBy>
  <dcterms:modified xsi:type="dcterms:W3CDTF">2024-03-03T15:23:29Z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62A6994523BB4DACA8ADDA874CD1A1F6_13</vt:lpwstr>
  </property>
</Properties>
</file>