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858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1" w:name="_Toc686867521"/>
      <w:bookmarkStart w:id="2" w:name="_Toc1394815584"/>
      <w:bookmarkStart w:id="3" w:name="_Toc2081030480"/>
      <w:bookmarkStart w:id="4" w:name="_Toc1665922594"/>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广元市苍溪生态环境局</w:t>
      </w:r>
      <w:bookmarkEnd w:id="0"/>
      <w:bookmarkEnd w:id="1"/>
      <w:bookmarkEnd w:id="2"/>
      <w:bookmarkEnd w:id="3"/>
      <w:bookmarkEnd w:id="4"/>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both"/>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both"/>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147481099"/>
        <w15:color w:val="DBDBDB"/>
        <w:docPartObj>
          <w:docPartGallery w:val="Table of Contents"/>
          <w:docPartUnique/>
        </w:docPartObj>
      </w:sdtPr>
      <w:sdtEndPr>
        <w:rPr>
          <w:rFonts w:hint="eastAsia" w:ascii="仿宋_GB2312" w:hAnsi="仿宋_GB2312" w:eastAsia="仿宋_GB2312" w:cs="仿宋_GB2312"/>
          <w:b/>
          <w:i w:val="0"/>
          <w:caps w:val="0"/>
          <w:color w:val="000000" w:themeColor="text1"/>
          <w:spacing w:val="0"/>
          <w:kern w:val="2"/>
          <w:sz w:val="21"/>
          <w:szCs w:val="32"/>
          <w:highlight w:val="none"/>
          <w:lang w:val="en-US" w:eastAsia="zh-CN" w:bidi="ar-SA"/>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9"/>
            <w:tabs>
              <w:tab w:val="right" w:leader="dot" w:pos="8845"/>
            </w:tabs>
            <w:spacing w:line="360" w:lineRule="auto"/>
          </w:pPr>
          <w:r>
            <w:fldChar w:fldCharType="begin"/>
          </w:r>
          <w:r>
            <w:instrText xml:space="preserve">TOC \o "1-9" \t "目录" \h \u </w:instrText>
          </w:r>
          <w:r>
            <w:fldChar w:fldCharType="separate"/>
          </w:r>
        </w:p>
        <w:p>
          <w:pPr>
            <w:pStyle w:val="9"/>
            <w:tabs>
              <w:tab w:val="right" w:leader="dot" w:pos="8845"/>
            </w:tabs>
            <w:spacing w:line="360" w:lineRule="auto"/>
            <w:rPr>
              <w:rFonts w:hint="default"/>
            </w:rPr>
          </w:pPr>
          <w:r>
            <w:fldChar w:fldCharType="begin"/>
          </w:r>
          <w:r>
            <w:instrText xml:space="preserve"> HYPERLINK \l _Toc1363760463 </w:instrText>
          </w:r>
          <w:r>
            <w:fldChar w:fldCharType="separate"/>
          </w:r>
          <w:r>
            <w:rPr>
              <w:rFonts w:hint="eastAsia" w:ascii="黑体" w:hAnsi="黑体" w:eastAsia="黑体" w:cs="黑体"/>
              <w:bCs/>
              <w:szCs w:val="32"/>
              <w:lang w:val="en-US" w:eastAsia="zh-CN"/>
            </w:rPr>
            <w:t>一、基本职能及主要工作</w:t>
          </w:r>
          <w:r>
            <w:tab/>
          </w:r>
          <w:r>
            <w:fldChar w:fldCharType="begin"/>
          </w:r>
          <w:r>
            <w:instrText xml:space="preserve"> PAGEREF _Toc1363760463 \h </w:instrText>
          </w:r>
          <w:r>
            <w:fldChar w:fldCharType="separate"/>
          </w:r>
          <w:r>
            <w:fldChar w:fldCharType="end"/>
          </w:r>
          <w:r>
            <w:fldChar w:fldCharType="end"/>
          </w:r>
          <w:r>
            <w:t>3</w:t>
          </w:r>
        </w:p>
        <w:p>
          <w:pPr>
            <w:pStyle w:val="11"/>
            <w:tabs>
              <w:tab w:val="right" w:leader="dot" w:pos="8845"/>
            </w:tabs>
            <w:spacing w:line="360" w:lineRule="auto"/>
            <w:rPr>
              <w:rFonts w:hint="default"/>
            </w:rPr>
          </w:pPr>
          <w:r>
            <w:fldChar w:fldCharType="begin"/>
          </w:r>
          <w:r>
            <w:instrText xml:space="preserve"> HYPERLINK \l _Toc407052413 </w:instrText>
          </w:r>
          <w:r>
            <w:fldChar w:fldCharType="separate"/>
          </w:r>
          <w:r>
            <w:rPr>
              <w:rFonts w:hint="eastAsia" w:ascii="黑体" w:hAnsi="黑体" w:eastAsia="黑体" w:cs="黑体"/>
              <w:bCs/>
            </w:rPr>
            <w:t>（一）</w:t>
          </w:r>
          <w:r>
            <w:rPr>
              <w:rFonts w:hint="eastAsia" w:ascii="黑体" w:hAnsi="黑体" w:eastAsia="黑体" w:cs="黑体"/>
              <w:bCs/>
              <w:lang w:val="en-US" w:eastAsia="zh-CN"/>
            </w:rPr>
            <w:t>广元市苍溪生态环境局</w:t>
          </w:r>
          <w:r>
            <w:rPr>
              <w:rFonts w:hint="eastAsia" w:ascii="黑体" w:hAnsi="黑体" w:eastAsia="黑体" w:cs="黑体"/>
              <w:bCs/>
            </w:rPr>
            <w:t>职能简介</w:t>
          </w:r>
          <w:r>
            <w:tab/>
          </w:r>
          <w:r>
            <w:fldChar w:fldCharType="begin"/>
          </w:r>
          <w:r>
            <w:instrText xml:space="preserve"> PAGEREF _Toc407052413 \h </w:instrText>
          </w:r>
          <w:r>
            <w:fldChar w:fldCharType="separate"/>
          </w:r>
          <w:r>
            <w:fldChar w:fldCharType="end"/>
          </w:r>
          <w:r>
            <w:fldChar w:fldCharType="end"/>
          </w:r>
          <w:r>
            <w:t>3</w:t>
          </w:r>
        </w:p>
        <w:p>
          <w:pPr>
            <w:pStyle w:val="11"/>
            <w:tabs>
              <w:tab w:val="right" w:leader="dot" w:pos="8845"/>
            </w:tabs>
            <w:spacing w:line="360" w:lineRule="auto"/>
            <w:rPr>
              <w:rFonts w:hint="default"/>
            </w:rPr>
          </w:pPr>
          <w:r>
            <w:fldChar w:fldCharType="begin"/>
          </w:r>
          <w:r>
            <w:instrText xml:space="preserve"> HYPERLINK \l _Toc1244826374 </w:instrText>
          </w:r>
          <w:r>
            <w:fldChar w:fldCharType="separate"/>
          </w:r>
          <w:r>
            <w:rPr>
              <w:rFonts w:hint="eastAsia" w:ascii="黑体" w:hAnsi="黑体" w:eastAsia="黑体" w:cs="黑体"/>
              <w:bCs/>
            </w:rPr>
            <w:t>（二）</w:t>
          </w:r>
          <w:r>
            <w:rPr>
              <w:rFonts w:hint="eastAsia" w:ascii="黑体" w:hAnsi="黑体" w:eastAsia="黑体" w:cs="黑体"/>
              <w:bCs/>
              <w:lang w:val="en-US" w:eastAsia="zh-CN"/>
            </w:rPr>
            <w:t>广元市苍溪生态环境局</w:t>
          </w:r>
          <w:r>
            <w:rPr>
              <w:rFonts w:hint="eastAsia" w:ascii="黑体" w:hAnsi="黑体" w:eastAsia="黑体" w:cs="黑体"/>
              <w:bCs/>
              <w:lang w:val="en-US"/>
            </w:rPr>
            <w:t>2024</w:t>
          </w:r>
          <w:r>
            <w:rPr>
              <w:rFonts w:hint="eastAsia" w:ascii="黑体" w:hAnsi="黑体" w:eastAsia="黑体" w:cs="黑体"/>
              <w:bCs/>
            </w:rPr>
            <w:t>年重点工作</w:t>
          </w:r>
          <w:r>
            <w:tab/>
          </w:r>
          <w:r>
            <w:fldChar w:fldCharType="begin"/>
          </w:r>
          <w:r>
            <w:instrText xml:space="preserve"> PAGEREF _Toc1244826374 \h </w:instrText>
          </w:r>
          <w:r>
            <w:fldChar w:fldCharType="separate"/>
          </w:r>
          <w:r>
            <w:fldChar w:fldCharType="end"/>
          </w:r>
          <w:r>
            <w:fldChar w:fldCharType="end"/>
          </w:r>
          <w:r>
            <w:t>4</w:t>
          </w:r>
        </w:p>
        <w:p>
          <w:pPr>
            <w:pStyle w:val="9"/>
            <w:tabs>
              <w:tab w:val="right" w:leader="dot" w:pos="8845"/>
            </w:tabs>
            <w:spacing w:line="360" w:lineRule="auto"/>
          </w:pPr>
          <w:r>
            <w:fldChar w:fldCharType="begin"/>
          </w:r>
          <w:r>
            <w:instrText xml:space="preserve"> HYPERLINK \l _Toc707983249 </w:instrText>
          </w:r>
          <w:r>
            <w:fldChar w:fldCharType="separate"/>
          </w:r>
          <w:r>
            <w:rPr>
              <w:rFonts w:hint="eastAsia" w:ascii="黑体" w:hAnsi="黑体" w:eastAsia="黑体" w:cs="黑体"/>
              <w:bCs/>
              <w:szCs w:val="32"/>
              <w:lang w:val="en-US" w:eastAsia="zh-CN"/>
            </w:rPr>
            <w:t>二、部门预算单位构成</w:t>
          </w:r>
          <w:r>
            <w:tab/>
          </w:r>
          <w:r>
            <w:fldChar w:fldCharType="begin"/>
          </w:r>
          <w:r>
            <w:instrText xml:space="preserve"> PAGEREF _Toc707983249 \h </w:instrText>
          </w:r>
          <w:r>
            <w:fldChar w:fldCharType="separate"/>
          </w:r>
          <w:r>
            <w:t>5</w:t>
          </w:r>
          <w:r>
            <w:fldChar w:fldCharType="end"/>
          </w:r>
          <w:r>
            <w:fldChar w:fldCharType="end"/>
          </w:r>
        </w:p>
        <w:p>
          <w:pPr>
            <w:pStyle w:val="9"/>
            <w:tabs>
              <w:tab w:val="right" w:leader="dot" w:pos="8845"/>
            </w:tabs>
            <w:spacing w:line="360" w:lineRule="auto"/>
          </w:pPr>
          <w:r>
            <w:fldChar w:fldCharType="begin"/>
          </w:r>
          <w:r>
            <w:instrText xml:space="preserve"> HYPERLINK \l _Toc544089202 </w:instrText>
          </w:r>
          <w:r>
            <w:fldChar w:fldCharType="separate"/>
          </w:r>
          <w:r>
            <w:rPr>
              <w:rFonts w:hint="eastAsia" w:ascii="黑体" w:hAnsi="黑体" w:eastAsia="黑体" w:cs="黑体"/>
              <w:bCs/>
              <w:szCs w:val="32"/>
              <w:lang w:val="en-US" w:eastAsia="zh-CN"/>
            </w:rPr>
            <w:t>三、收支预算情况说明</w:t>
          </w:r>
          <w:r>
            <w:tab/>
          </w:r>
          <w:r>
            <w:fldChar w:fldCharType="begin"/>
          </w:r>
          <w:r>
            <w:instrText xml:space="preserve"> PAGEREF _Toc544089202 \h </w:instrText>
          </w:r>
          <w:r>
            <w:fldChar w:fldCharType="separate"/>
          </w:r>
          <w:r>
            <w:t>5</w:t>
          </w:r>
          <w:r>
            <w:fldChar w:fldCharType="end"/>
          </w:r>
          <w:r>
            <w:fldChar w:fldCharType="end"/>
          </w:r>
        </w:p>
        <w:p>
          <w:pPr>
            <w:pStyle w:val="11"/>
            <w:tabs>
              <w:tab w:val="right" w:leader="dot" w:pos="8845"/>
            </w:tabs>
            <w:spacing w:line="360" w:lineRule="auto"/>
          </w:pPr>
          <w:r>
            <w:fldChar w:fldCharType="begin"/>
          </w:r>
          <w:r>
            <w:instrText xml:space="preserve"> HYPERLINK \l _Toc852068413 </w:instrText>
          </w:r>
          <w:r>
            <w:fldChar w:fldCharType="separate"/>
          </w:r>
          <w:r>
            <w:rPr>
              <w:rFonts w:hint="eastAsia" w:ascii="黑体" w:hAnsi="黑体" w:eastAsia="黑体" w:cs="黑体"/>
              <w:bCs/>
              <w:lang w:val="en-US" w:eastAsia="zh-CN"/>
            </w:rPr>
            <w:t>（一）收入预算情况</w:t>
          </w:r>
          <w:r>
            <w:tab/>
          </w:r>
          <w:r>
            <w:fldChar w:fldCharType="begin"/>
          </w:r>
          <w:r>
            <w:instrText xml:space="preserve"> PAGEREF _Toc852068413 \h </w:instrText>
          </w:r>
          <w:r>
            <w:fldChar w:fldCharType="separate"/>
          </w:r>
          <w:r>
            <w:t>5</w:t>
          </w:r>
          <w:r>
            <w:fldChar w:fldCharType="end"/>
          </w:r>
          <w:r>
            <w:fldChar w:fldCharType="end"/>
          </w:r>
        </w:p>
        <w:p>
          <w:pPr>
            <w:pStyle w:val="11"/>
            <w:tabs>
              <w:tab w:val="right" w:leader="dot" w:pos="8845"/>
            </w:tabs>
            <w:spacing w:line="360" w:lineRule="auto"/>
          </w:pPr>
          <w:r>
            <w:fldChar w:fldCharType="begin"/>
          </w:r>
          <w:r>
            <w:instrText xml:space="preserve"> HYPERLINK \l _Toc2018326006 </w:instrText>
          </w:r>
          <w:r>
            <w:fldChar w:fldCharType="separate"/>
          </w:r>
          <w:r>
            <w:rPr>
              <w:rFonts w:hint="eastAsia" w:ascii="黑体" w:hAnsi="黑体" w:eastAsia="黑体" w:cs="黑体"/>
              <w:bCs/>
              <w:lang w:val="en-US" w:eastAsia="zh-CN"/>
            </w:rPr>
            <w:t>（二）支出预算情况</w:t>
          </w:r>
          <w:r>
            <w:tab/>
          </w:r>
          <w:r>
            <w:fldChar w:fldCharType="begin"/>
          </w:r>
          <w:r>
            <w:instrText xml:space="preserve"> PAGEREF _Toc2018326006 \h </w:instrText>
          </w:r>
          <w:r>
            <w:fldChar w:fldCharType="separate"/>
          </w:r>
          <w:r>
            <w:t>5</w:t>
          </w:r>
          <w:r>
            <w:fldChar w:fldCharType="end"/>
          </w:r>
          <w:r>
            <w:fldChar w:fldCharType="end"/>
          </w:r>
        </w:p>
        <w:p>
          <w:pPr>
            <w:pStyle w:val="9"/>
            <w:tabs>
              <w:tab w:val="right" w:leader="dot" w:pos="8845"/>
            </w:tabs>
            <w:spacing w:line="360" w:lineRule="auto"/>
          </w:pPr>
          <w:r>
            <w:fldChar w:fldCharType="begin"/>
          </w:r>
          <w:r>
            <w:instrText xml:space="preserve"> HYPERLINK \l _Toc1556942654 </w:instrText>
          </w:r>
          <w:r>
            <w:fldChar w:fldCharType="separate"/>
          </w:r>
          <w:r>
            <w:rPr>
              <w:rFonts w:hint="eastAsia" w:ascii="黑体" w:hAnsi="黑体" w:eastAsia="黑体" w:cs="黑体"/>
              <w:bCs/>
              <w:szCs w:val="32"/>
              <w:lang w:val="en-US" w:eastAsia="zh-CN"/>
            </w:rPr>
            <w:t>四、财政拨款收支预算情况说明</w:t>
          </w:r>
          <w:r>
            <w:tab/>
          </w:r>
          <w:r>
            <w:fldChar w:fldCharType="begin"/>
          </w:r>
          <w:r>
            <w:instrText xml:space="preserve"> PAGEREF _Toc1556942654 \h </w:instrText>
          </w:r>
          <w:r>
            <w:fldChar w:fldCharType="separate"/>
          </w:r>
          <w:r>
            <w:t>6</w:t>
          </w:r>
          <w:r>
            <w:fldChar w:fldCharType="end"/>
          </w:r>
          <w:r>
            <w:fldChar w:fldCharType="end"/>
          </w:r>
        </w:p>
        <w:p>
          <w:pPr>
            <w:pStyle w:val="9"/>
            <w:tabs>
              <w:tab w:val="right" w:leader="dot" w:pos="8845"/>
            </w:tabs>
            <w:spacing w:line="360" w:lineRule="auto"/>
          </w:pPr>
          <w:r>
            <w:fldChar w:fldCharType="begin"/>
          </w:r>
          <w:r>
            <w:instrText xml:space="preserve"> HYPERLINK \l _Toc58720137 </w:instrText>
          </w:r>
          <w:r>
            <w:fldChar w:fldCharType="separate"/>
          </w:r>
          <w:r>
            <w:rPr>
              <w:rFonts w:hint="eastAsia" w:ascii="黑体" w:hAnsi="黑体" w:eastAsia="黑体" w:cs="黑体"/>
              <w:bCs/>
              <w:szCs w:val="32"/>
              <w:lang w:val="en-US" w:eastAsia="zh-CN"/>
            </w:rPr>
            <w:t>五、一般公共预算当年拨款情况说明</w:t>
          </w:r>
          <w:r>
            <w:tab/>
          </w:r>
          <w:r>
            <w:fldChar w:fldCharType="begin"/>
          </w:r>
          <w:r>
            <w:instrText xml:space="preserve"> PAGEREF _Toc58720137 \h </w:instrText>
          </w:r>
          <w:r>
            <w:fldChar w:fldCharType="separate"/>
          </w:r>
          <w:r>
            <w:t>6</w:t>
          </w:r>
          <w:r>
            <w:fldChar w:fldCharType="end"/>
          </w:r>
          <w:r>
            <w:fldChar w:fldCharType="end"/>
          </w:r>
        </w:p>
        <w:p>
          <w:pPr>
            <w:pStyle w:val="11"/>
            <w:tabs>
              <w:tab w:val="right" w:leader="dot" w:pos="8845"/>
            </w:tabs>
            <w:spacing w:line="360" w:lineRule="auto"/>
          </w:pPr>
          <w:r>
            <w:fldChar w:fldCharType="begin"/>
          </w:r>
          <w:r>
            <w:instrText xml:space="preserve"> HYPERLINK \l _Toc555323820 </w:instrText>
          </w:r>
          <w:r>
            <w:fldChar w:fldCharType="separate"/>
          </w:r>
          <w:r>
            <w:rPr>
              <w:rFonts w:hint="eastAsia" w:ascii="黑体" w:hAnsi="黑体" w:eastAsia="黑体" w:cs="黑体"/>
              <w:bCs/>
              <w:lang w:val="en-US" w:eastAsia="zh-CN"/>
            </w:rPr>
            <w:t>（一）一般公共预算当年拨款规模变化情况</w:t>
          </w:r>
          <w:r>
            <w:tab/>
          </w:r>
          <w:r>
            <w:fldChar w:fldCharType="begin"/>
          </w:r>
          <w:r>
            <w:instrText xml:space="preserve"> PAGEREF _Toc555323820 \h </w:instrText>
          </w:r>
          <w:r>
            <w:fldChar w:fldCharType="separate"/>
          </w:r>
          <w:r>
            <w:t>6</w:t>
          </w:r>
          <w:r>
            <w:fldChar w:fldCharType="end"/>
          </w:r>
          <w:r>
            <w:fldChar w:fldCharType="end"/>
          </w:r>
        </w:p>
        <w:p>
          <w:pPr>
            <w:pStyle w:val="11"/>
            <w:tabs>
              <w:tab w:val="right" w:leader="dot" w:pos="8845"/>
            </w:tabs>
            <w:spacing w:line="360" w:lineRule="auto"/>
          </w:pPr>
          <w:r>
            <w:fldChar w:fldCharType="begin"/>
          </w:r>
          <w:r>
            <w:instrText xml:space="preserve"> HYPERLINK \l _Toc1012973843 </w:instrText>
          </w:r>
          <w:r>
            <w:fldChar w:fldCharType="separate"/>
          </w:r>
          <w:r>
            <w:rPr>
              <w:rFonts w:hint="eastAsia" w:ascii="黑体" w:hAnsi="黑体" w:eastAsia="黑体" w:cs="黑体"/>
              <w:bCs/>
              <w:lang w:val="en-US" w:eastAsia="zh-CN"/>
            </w:rPr>
            <w:t>（二）一般公共预算当年拨款结构情况</w:t>
          </w:r>
          <w:r>
            <w:tab/>
          </w:r>
          <w:r>
            <w:fldChar w:fldCharType="begin"/>
          </w:r>
          <w:r>
            <w:instrText xml:space="preserve"> PAGEREF _Toc1012973843 \h </w:instrText>
          </w:r>
          <w:r>
            <w:fldChar w:fldCharType="separate"/>
          </w:r>
          <w:r>
            <w:t>6</w:t>
          </w:r>
          <w:r>
            <w:fldChar w:fldCharType="end"/>
          </w:r>
          <w:r>
            <w:fldChar w:fldCharType="end"/>
          </w:r>
        </w:p>
        <w:p>
          <w:pPr>
            <w:pStyle w:val="11"/>
            <w:tabs>
              <w:tab w:val="right" w:leader="dot" w:pos="8845"/>
            </w:tabs>
            <w:spacing w:line="360" w:lineRule="auto"/>
          </w:pPr>
          <w:r>
            <w:fldChar w:fldCharType="begin"/>
          </w:r>
          <w:r>
            <w:instrText xml:space="preserve"> HYPERLINK \l _Toc1666843068 </w:instrText>
          </w:r>
          <w:r>
            <w:fldChar w:fldCharType="separate"/>
          </w:r>
          <w:r>
            <w:rPr>
              <w:rFonts w:hint="eastAsia" w:ascii="黑体" w:hAnsi="黑体" w:eastAsia="黑体" w:cs="黑体"/>
              <w:bCs/>
              <w:lang w:val="en-US" w:eastAsia="zh-CN"/>
            </w:rPr>
            <w:t>（三）一般公共预算当年拨款具体使用情况</w:t>
          </w:r>
          <w:r>
            <w:tab/>
          </w:r>
          <w:r>
            <w:fldChar w:fldCharType="begin"/>
          </w:r>
          <w:r>
            <w:instrText xml:space="preserve"> PAGEREF _Toc1666843068 \h </w:instrText>
          </w:r>
          <w:r>
            <w:fldChar w:fldCharType="separate"/>
          </w:r>
          <w:r>
            <w:t>6</w:t>
          </w:r>
          <w:r>
            <w:fldChar w:fldCharType="end"/>
          </w:r>
          <w:r>
            <w:fldChar w:fldCharType="end"/>
          </w:r>
        </w:p>
        <w:p>
          <w:pPr>
            <w:pStyle w:val="9"/>
            <w:tabs>
              <w:tab w:val="right" w:leader="dot" w:pos="8845"/>
            </w:tabs>
            <w:spacing w:line="360" w:lineRule="auto"/>
            <w:rPr>
              <w:rFonts w:hint="default"/>
            </w:rPr>
          </w:pPr>
          <w:r>
            <w:fldChar w:fldCharType="begin"/>
          </w:r>
          <w:r>
            <w:instrText xml:space="preserve"> HYPERLINK \l _Toc389351644 </w:instrText>
          </w:r>
          <w:r>
            <w:fldChar w:fldCharType="separate"/>
          </w:r>
          <w:r>
            <w:rPr>
              <w:rFonts w:hint="eastAsia" w:ascii="黑体" w:hAnsi="黑体" w:eastAsia="黑体" w:cs="黑体"/>
              <w:bCs/>
              <w:szCs w:val="32"/>
              <w:lang w:val="en-US" w:eastAsia="zh-CN"/>
            </w:rPr>
            <w:t>六、一般公共预算基本支出情况说明</w:t>
          </w:r>
          <w:r>
            <w:tab/>
          </w:r>
          <w:r>
            <w:fldChar w:fldCharType="begin"/>
          </w:r>
          <w:r>
            <w:instrText xml:space="preserve"> PAGEREF _Toc389351644 \h </w:instrText>
          </w:r>
          <w:r>
            <w:fldChar w:fldCharType="separate"/>
          </w:r>
          <w:r>
            <w:fldChar w:fldCharType="end"/>
          </w:r>
          <w:r>
            <w:fldChar w:fldCharType="end"/>
          </w:r>
          <w:r>
            <w:t>8</w:t>
          </w:r>
        </w:p>
        <w:p>
          <w:pPr>
            <w:pStyle w:val="9"/>
            <w:tabs>
              <w:tab w:val="right" w:leader="dot" w:pos="8845"/>
            </w:tabs>
            <w:spacing w:line="360" w:lineRule="auto"/>
          </w:pPr>
          <w:r>
            <w:fldChar w:fldCharType="begin"/>
          </w:r>
          <w:r>
            <w:instrText xml:space="preserve"> HYPERLINK \l _Toc1023487354 </w:instrText>
          </w:r>
          <w:r>
            <w:fldChar w:fldCharType="separate"/>
          </w:r>
          <w:r>
            <w:rPr>
              <w:rFonts w:hint="eastAsia" w:ascii="黑体" w:hAnsi="黑体" w:eastAsia="黑体" w:cs="黑体"/>
              <w:bCs/>
              <w:szCs w:val="32"/>
              <w:lang w:val="en-US" w:eastAsia="zh-CN"/>
            </w:rPr>
            <w:t>七、“三公”经费财政拨款预算安排情况说明</w:t>
          </w:r>
          <w:r>
            <w:tab/>
          </w:r>
          <w:r>
            <w:fldChar w:fldCharType="begin"/>
          </w:r>
          <w:r>
            <w:instrText xml:space="preserve"> PAGEREF _Toc1023487354 \h </w:instrText>
          </w:r>
          <w:r>
            <w:fldChar w:fldCharType="separate"/>
          </w:r>
          <w:r>
            <w:t>8</w:t>
          </w:r>
          <w:r>
            <w:fldChar w:fldCharType="end"/>
          </w:r>
          <w:r>
            <w:fldChar w:fldCharType="end"/>
          </w:r>
        </w:p>
        <w:p>
          <w:pPr>
            <w:pStyle w:val="11"/>
            <w:tabs>
              <w:tab w:val="right" w:leader="dot" w:pos="8845"/>
            </w:tabs>
            <w:spacing w:line="360" w:lineRule="auto"/>
          </w:pPr>
          <w:r>
            <w:fldChar w:fldCharType="begin"/>
          </w:r>
          <w:r>
            <w:instrText xml:space="preserve"> HYPERLINK \l _Toc468169762 </w:instrText>
          </w:r>
          <w:r>
            <w:fldChar w:fldCharType="separate"/>
          </w:r>
          <w:r>
            <w:rPr>
              <w:rFonts w:hint="eastAsia" w:ascii="黑体" w:hAnsi="黑体" w:eastAsia="黑体" w:cs="黑体"/>
              <w:bCs/>
              <w:lang w:val="en-US" w:eastAsia="zh-CN"/>
            </w:rPr>
            <w:t>（一）公务接待费</w:t>
          </w:r>
          <w:r>
            <w:tab/>
          </w:r>
          <w:r>
            <w:fldChar w:fldCharType="begin"/>
          </w:r>
          <w:r>
            <w:instrText xml:space="preserve"> PAGEREF _Toc468169762 \h </w:instrText>
          </w:r>
          <w:r>
            <w:fldChar w:fldCharType="separate"/>
          </w:r>
          <w:r>
            <w:t>8</w:t>
          </w:r>
          <w:r>
            <w:fldChar w:fldCharType="end"/>
          </w:r>
          <w:r>
            <w:fldChar w:fldCharType="end"/>
          </w:r>
        </w:p>
        <w:p>
          <w:pPr>
            <w:pStyle w:val="11"/>
            <w:tabs>
              <w:tab w:val="right" w:leader="dot" w:pos="8845"/>
            </w:tabs>
            <w:spacing w:line="360" w:lineRule="auto"/>
            <w:rPr>
              <w:rFonts w:hint="default"/>
            </w:rPr>
          </w:pPr>
          <w:r>
            <w:fldChar w:fldCharType="begin"/>
          </w:r>
          <w:r>
            <w:instrText xml:space="preserve"> HYPERLINK \l _Toc525870012 </w:instrText>
          </w:r>
          <w:r>
            <w:fldChar w:fldCharType="separate"/>
          </w:r>
          <w:r>
            <w:rPr>
              <w:rFonts w:hint="eastAsia" w:ascii="黑体" w:hAnsi="黑体" w:eastAsia="黑体" w:cs="黑体"/>
              <w:bCs/>
              <w:lang w:val="en-US" w:eastAsia="zh-CN"/>
            </w:rPr>
            <w:t>（二）公务用车购置及运行维护费</w:t>
          </w:r>
          <w:r>
            <w:tab/>
          </w:r>
          <w:r>
            <w:fldChar w:fldCharType="begin"/>
          </w:r>
          <w:r>
            <w:instrText xml:space="preserve"> PAGEREF _Toc525870012 \h </w:instrText>
          </w:r>
          <w:r>
            <w:fldChar w:fldCharType="separate"/>
          </w:r>
          <w:r>
            <w:fldChar w:fldCharType="end"/>
          </w:r>
          <w:r>
            <w:fldChar w:fldCharType="end"/>
          </w:r>
          <w:r>
            <w:t>9</w:t>
          </w:r>
        </w:p>
        <w:p>
          <w:pPr>
            <w:pStyle w:val="11"/>
            <w:tabs>
              <w:tab w:val="right" w:leader="dot" w:pos="8845"/>
            </w:tabs>
            <w:spacing w:line="360" w:lineRule="auto"/>
          </w:pPr>
          <w:r>
            <w:fldChar w:fldCharType="begin"/>
          </w:r>
          <w:r>
            <w:instrText xml:space="preserve"> HYPERLINK \l _Toc930950551 </w:instrText>
          </w:r>
          <w:r>
            <w:fldChar w:fldCharType="separate"/>
          </w:r>
          <w:r>
            <w:rPr>
              <w:rFonts w:hint="eastAsia" w:ascii="黑体" w:hAnsi="黑体" w:eastAsia="黑体" w:cs="黑体"/>
              <w:bCs/>
              <w:lang w:val="en-US" w:eastAsia="zh-CN"/>
            </w:rPr>
            <w:t>（三）因公出国（境）经费</w:t>
          </w:r>
          <w:r>
            <w:tab/>
          </w:r>
          <w:r>
            <w:fldChar w:fldCharType="begin"/>
          </w:r>
          <w:r>
            <w:instrText xml:space="preserve"> PAGEREF _Toc930950551 \h </w:instrText>
          </w:r>
          <w:r>
            <w:fldChar w:fldCharType="separate"/>
          </w:r>
          <w:r>
            <w:t>9</w:t>
          </w:r>
          <w:r>
            <w:fldChar w:fldCharType="end"/>
          </w:r>
          <w:r>
            <w:fldChar w:fldCharType="end"/>
          </w:r>
        </w:p>
        <w:p>
          <w:pPr>
            <w:pStyle w:val="9"/>
            <w:tabs>
              <w:tab w:val="right" w:leader="dot" w:pos="8845"/>
            </w:tabs>
            <w:spacing w:line="360" w:lineRule="auto"/>
          </w:pPr>
          <w:r>
            <w:fldChar w:fldCharType="begin"/>
          </w:r>
          <w:r>
            <w:instrText xml:space="preserve"> HYPERLINK \l _Toc1033663581 </w:instrText>
          </w:r>
          <w:r>
            <w:fldChar w:fldCharType="separate"/>
          </w:r>
          <w:r>
            <w:rPr>
              <w:rFonts w:hint="eastAsia" w:ascii="黑体" w:hAnsi="黑体" w:eastAsia="黑体" w:cs="黑体"/>
              <w:bCs/>
              <w:szCs w:val="32"/>
              <w:lang w:val="en-US" w:eastAsia="zh-CN"/>
            </w:rPr>
            <w:t>八、政府性基金预算支出情况说明</w:t>
          </w:r>
          <w:r>
            <w:tab/>
          </w:r>
          <w:r>
            <w:fldChar w:fldCharType="begin"/>
          </w:r>
          <w:r>
            <w:instrText xml:space="preserve"> PAGEREF _Toc1033663581 \h </w:instrText>
          </w:r>
          <w:r>
            <w:fldChar w:fldCharType="separate"/>
          </w:r>
          <w:r>
            <w:t>9</w:t>
          </w:r>
          <w:r>
            <w:fldChar w:fldCharType="end"/>
          </w:r>
          <w:r>
            <w:fldChar w:fldCharType="end"/>
          </w:r>
        </w:p>
        <w:p>
          <w:pPr>
            <w:pStyle w:val="9"/>
            <w:tabs>
              <w:tab w:val="right" w:leader="dot" w:pos="8845"/>
            </w:tabs>
            <w:spacing w:line="360" w:lineRule="auto"/>
          </w:pPr>
          <w:r>
            <w:fldChar w:fldCharType="begin"/>
          </w:r>
          <w:r>
            <w:instrText xml:space="preserve"> HYPERLINK \l _Toc1253612600 </w:instrText>
          </w:r>
          <w:r>
            <w:fldChar w:fldCharType="separate"/>
          </w:r>
          <w:r>
            <w:rPr>
              <w:rFonts w:hint="eastAsia" w:ascii="黑体" w:hAnsi="黑体" w:eastAsia="黑体" w:cs="黑体"/>
              <w:bCs/>
              <w:szCs w:val="32"/>
              <w:lang w:val="en-US" w:eastAsia="zh-CN"/>
            </w:rPr>
            <w:t>九、国有资本经营预算支出情况说明</w:t>
          </w:r>
          <w:r>
            <w:tab/>
          </w:r>
          <w:r>
            <w:fldChar w:fldCharType="begin"/>
          </w:r>
          <w:r>
            <w:instrText xml:space="preserve"> PAGEREF _Toc1253612600 \h </w:instrText>
          </w:r>
          <w:r>
            <w:fldChar w:fldCharType="separate"/>
          </w:r>
          <w:r>
            <w:t>9</w:t>
          </w:r>
          <w:r>
            <w:fldChar w:fldCharType="end"/>
          </w:r>
          <w:r>
            <w:fldChar w:fldCharType="end"/>
          </w:r>
        </w:p>
        <w:p>
          <w:pPr>
            <w:pStyle w:val="9"/>
            <w:tabs>
              <w:tab w:val="right" w:leader="dot" w:pos="8845"/>
            </w:tabs>
            <w:spacing w:line="360" w:lineRule="auto"/>
          </w:pPr>
          <w:r>
            <w:fldChar w:fldCharType="begin"/>
          </w:r>
          <w:r>
            <w:instrText xml:space="preserve"> HYPERLINK \l _Toc1995517593 </w:instrText>
          </w:r>
          <w:r>
            <w:fldChar w:fldCharType="separate"/>
          </w:r>
          <w:r>
            <w:rPr>
              <w:rFonts w:hint="eastAsia" w:ascii="黑体" w:hAnsi="黑体" w:eastAsia="黑体" w:cs="黑体"/>
              <w:bCs/>
              <w:szCs w:val="32"/>
              <w:lang w:val="en-US" w:eastAsia="zh-CN"/>
            </w:rPr>
            <w:t>十、其他重要事项的情况说明</w:t>
          </w:r>
          <w:r>
            <w:tab/>
          </w:r>
          <w:r>
            <w:fldChar w:fldCharType="begin"/>
          </w:r>
          <w:r>
            <w:instrText xml:space="preserve"> PAGEREF _Toc1995517593 \h </w:instrText>
          </w:r>
          <w:r>
            <w:fldChar w:fldCharType="separate"/>
          </w:r>
          <w:r>
            <w:t>9</w:t>
          </w:r>
          <w:r>
            <w:fldChar w:fldCharType="end"/>
          </w:r>
          <w:r>
            <w:fldChar w:fldCharType="end"/>
          </w:r>
        </w:p>
        <w:p>
          <w:pPr>
            <w:pStyle w:val="11"/>
            <w:tabs>
              <w:tab w:val="right" w:leader="dot" w:pos="8845"/>
            </w:tabs>
            <w:spacing w:line="360" w:lineRule="auto"/>
          </w:pPr>
          <w:r>
            <w:fldChar w:fldCharType="begin"/>
          </w:r>
          <w:r>
            <w:instrText xml:space="preserve"> HYPERLINK \l _Toc386324706 </w:instrText>
          </w:r>
          <w:r>
            <w:fldChar w:fldCharType="separate"/>
          </w:r>
          <w:r>
            <w:rPr>
              <w:rFonts w:hint="eastAsia" w:ascii="黑体" w:hAnsi="黑体" w:eastAsia="黑体" w:cs="黑体"/>
              <w:bCs/>
              <w:lang w:val="en-US" w:eastAsia="zh-CN"/>
            </w:rPr>
            <w:t>（一）机关运行经费</w:t>
          </w:r>
          <w:r>
            <w:tab/>
          </w:r>
          <w:r>
            <w:fldChar w:fldCharType="begin"/>
          </w:r>
          <w:r>
            <w:instrText xml:space="preserve"> PAGEREF _Toc386324706 \h </w:instrText>
          </w:r>
          <w:r>
            <w:fldChar w:fldCharType="separate"/>
          </w:r>
          <w:r>
            <w:t>9</w:t>
          </w:r>
          <w:r>
            <w:fldChar w:fldCharType="end"/>
          </w:r>
          <w:r>
            <w:fldChar w:fldCharType="end"/>
          </w:r>
        </w:p>
        <w:p>
          <w:pPr>
            <w:pStyle w:val="11"/>
            <w:tabs>
              <w:tab w:val="right" w:leader="dot" w:pos="8845"/>
            </w:tabs>
            <w:spacing w:line="360" w:lineRule="auto"/>
            <w:rPr>
              <w:rFonts w:hint="default"/>
            </w:rPr>
          </w:pPr>
          <w:r>
            <w:fldChar w:fldCharType="begin"/>
          </w:r>
          <w:r>
            <w:instrText xml:space="preserve"> HYPERLINK \l _Toc82656333 </w:instrText>
          </w:r>
          <w:r>
            <w:fldChar w:fldCharType="separate"/>
          </w:r>
          <w:r>
            <w:rPr>
              <w:rFonts w:hint="eastAsia" w:ascii="黑体" w:hAnsi="黑体" w:eastAsia="黑体" w:cs="黑体"/>
              <w:bCs/>
              <w:lang w:val="en-US" w:eastAsia="zh-CN"/>
            </w:rPr>
            <w:t>（二）政府采购情况</w:t>
          </w:r>
          <w:r>
            <w:tab/>
          </w:r>
          <w:r>
            <w:fldChar w:fldCharType="begin"/>
          </w:r>
          <w:r>
            <w:instrText xml:space="preserve"> PAGEREF _Toc82656333 \h </w:instrText>
          </w:r>
          <w:r>
            <w:fldChar w:fldCharType="separate"/>
          </w:r>
          <w:r>
            <w:fldChar w:fldCharType="end"/>
          </w:r>
          <w:r>
            <w:fldChar w:fldCharType="end"/>
          </w:r>
          <w:r>
            <w:t>10</w:t>
          </w:r>
        </w:p>
        <w:p>
          <w:pPr>
            <w:pStyle w:val="11"/>
            <w:tabs>
              <w:tab w:val="right" w:leader="dot" w:pos="8845"/>
            </w:tabs>
            <w:spacing w:line="360" w:lineRule="auto"/>
            <w:rPr>
              <w:rFonts w:hint="default"/>
            </w:rPr>
          </w:pPr>
          <w:r>
            <w:fldChar w:fldCharType="begin"/>
          </w:r>
          <w:r>
            <w:instrText xml:space="preserve"> HYPERLINK \l _Toc636252620 </w:instrText>
          </w:r>
          <w:r>
            <w:fldChar w:fldCharType="separate"/>
          </w:r>
          <w:r>
            <w:rPr>
              <w:rFonts w:hint="eastAsia" w:ascii="黑体" w:hAnsi="黑体" w:eastAsia="黑体" w:cs="黑体"/>
              <w:bCs/>
              <w:lang w:val="en-US" w:eastAsia="zh-CN"/>
            </w:rPr>
            <w:t>（三）国有资产占有使用情况</w:t>
          </w:r>
          <w:r>
            <w:tab/>
          </w:r>
          <w:r>
            <w:fldChar w:fldCharType="begin"/>
          </w:r>
          <w:r>
            <w:instrText xml:space="preserve"> PAGEREF _Toc636252620 \h </w:instrText>
          </w:r>
          <w:r>
            <w:fldChar w:fldCharType="separate"/>
          </w:r>
          <w:r>
            <w:fldChar w:fldCharType="end"/>
          </w:r>
          <w:r>
            <w:fldChar w:fldCharType="end"/>
          </w:r>
          <w:r>
            <w:t>10</w:t>
          </w:r>
        </w:p>
        <w:p>
          <w:pPr>
            <w:pStyle w:val="11"/>
            <w:tabs>
              <w:tab w:val="right" w:leader="dot" w:pos="8845"/>
            </w:tabs>
            <w:spacing w:line="360" w:lineRule="auto"/>
          </w:pPr>
          <w:r>
            <w:fldChar w:fldCharType="begin"/>
          </w:r>
          <w:r>
            <w:instrText xml:space="preserve"> HYPERLINK \l _Toc1936078707 </w:instrText>
          </w:r>
          <w:r>
            <w:fldChar w:fldCharType="separate"/>
          </w:r>
          <w:r>
            <w:rPr>
              <w:rFonts w:hint="eastAsia" w:ascii="黑体" w:hAnsi="黑体" w:eastAsia="黑体" w:cs="黑体"/>
              <w:bCs/>
              <w:lang w:val="en-US" w:eastAsia="zh-CN"/>
            </w:rPr>
            <w:t>（四）绩效目标设置情况</w:t>
          </w:r>
          <w:r>
            <w:tab/>
          </w:r>
          <w:r>
            <w:fldChar w:fldCharType="begin"/>
          </w:r>
          <w:r>
            <w:instrText xml:space="preserve"> PAGEREF _Toc1936078707 \h </w:instrText>
          </w:r>
          <w:r>
            <w:fldChar w:fldCharType="separate"/>
          </w:r>
          <w:r>
            <w:t>10</w:t>
          </w:r>
          <w:r>
            <w:fldChar w:fldCharType="end"/>
          </w:r>
          <w:r>
            <w:fldChar w:fldCharType="end"/>
          </w:r>
        </w:p>
        <w:p>
          <w:pPr>
            <w:pStyle w:val="9"/>
            <w:tabs>
              <w:tab w:val="right" w:leader="dot" w:pos="8845"/>
            </w:tabs>
            <w:spacing w:line="360" w:lineRule="auto"/>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fldChar w:fldCharType="begin"/>
          </w:r>
          <w:r>
            <w:instrText xml:space="preserve"> HYPERLINK \l _Toc469474673 </w:instrText>
          </w:r>
          <w:r>
            <w:fldChar w:fldCharType="separate"/>
          </w:r>
          <w:r>
            <w:rPr>
              <w:rFonts w:hint="eastAsia" w:ascii="黑体" w:hAnsi="黑体" w:eastAsia="黑体" w:cs="黑体"/>
              <w:bCs/>
              <w:szCs w:val="32"/>
              <w:lang w:val="en-US" w:eastAsia="zh-CN"/>
            </w:rPr>
            <w:t>十一、名词解释</w:t>
          </w:r>
          <w:r>
            <w:tab/>
          </w:r>
          <w:r>
            <w:fldChar w:fldCharType="begin"/>
          </w:r>
          <w:r>
            <w:instrText xml:space="preserve"> PAGEREF _Toc469474673 \h </w:instrText>
          </w:r>
          <w:r>
            <w:fldChar w:fldCharType="separate"/>
          </w:r>
          <w:r>
            <w:t>10</w:t>
          </w:r>
          <w:r>
            <w:fldChar w:fldCharType="end"/>
          </w:r>
          <w:r>
            <w:fldChar w:fldCharType="end"/>
          </w:r>
          <w:r>
            <w:fldChar w:fldCharType="end"/>
          </w:r>
        </w:p>
      </w:sdtContent>
    </w:sdt>
    <w:p>
      <w:pPr>
        <w:pStyle w:val="2"/>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sz w:val="32"/>
          <w:szCs w:val="32"/>
        </w:rPr>
      </w:pPr>
      <w:bookmarkStart w:id="5" w:name="_Toc1329565116"/>
      <w:bookmarkStart w:id="6" w:name="_Toc2076557029"/>
      <w:bookmarkStart w:id="7" w:name="_Toc1363760463"/>
      <w:r>
        <w:rPr>
          <w:rFonts w:hint="eastAsia" w:ascii="黑体" w:hAnsi="黑体" w:eastAsia="黑体" w:cs="黑体"/>
          <w:b w:val="0"/>
          <w:bCs/>
          <w:sz w:val="32"/>
          <w:szCs w:val="32"/>
          <w:lang w:val="en-US" w:eastAsia="zh-CN"/>
        </w:rPr>
        <w:t>一、基本职能及主要工作</w:t>
      </w:r>
      <w:bookmarkEnd w:id="5"/>
      <w:bookmarkEnd w:id="6"/>
      <w:bookmarkEnd w:id="7"/>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rPr>
      </w:pPr>
      <w:bookmarkStart w:id="8" w:name="_Toc937725576"/>
      <w:bookmarkStart w:id="9" w:name="_Toc29564871"/>
      <w:bookmarkStart w:id="10" w:name="_Toc407052413"/>
      <w:r>
        <w:rPr>
          <w:rFonts w:hint="eastAsia" w:ascii="黑体" w:hAnsi="黑体" w:eastAsia="黑体" w:cs="黑体"/>
          <w:b w:val="0"/>
          <w:bCs/>
        </w:rPr>
        <w:t>（一）</w:t>
      </w:r>
      <w:r>
        <w:rPr>
          <w:rFonts w:hint="eastAsia" w:ascii="黑体" w:hAnsi="黑体" w:eastAsia="黑体" w:cs="黑体"/>
          <w:b w:val="0"/>
          <w:bCs/>
          <w:lang w:val="en-US" w:eastAsia="zh-CN"/>
        </w:rPr>
        <w:t>广元市苍溪生态环境局</w:t>
      </w:r>
      <w:r>
        <w:rPr>
          <w:rFonts w:hint="eastAsia" w:ascii="黑体" w:hAnsi="黑体" w:eastAsia="黑体" w:cs="黑体"/>
          <w:b w:val="0"/>
          <w:bCs/>
        </w:rPr>
        <w:t>职能简介</w:t>
      </w:r>
      <w:bookmarkEnd w:id="8"/>
      <w:bookmarkEnd w:id="9"/>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负责建立健全生态环境基本制度。承担本行政辖区内生态环境保护的监督工作；负责本县生态环境问题的统筹协调和监督管理；负责监督本县减排目标的落实；参与提出生态环境领域固定资产投资规模和方向、专项资金分配建议方案，配合有关部门做好组织实施和监督工作；负责环境污染防治监督管理；指导协调和监督本县生态保护修复工作；负责本县核与辐射安全监督管理。贯彻执行核与辐射安全法律、法规、规章；负责生态环境准入的监督管理；负责生态环境监测、统计和信息发布工作；负责应对气候变化工作；负责协调生态环境保护督察和监察相关工作。监督生态环境保护“党政同责、一岗双责”落实情况；统一负责生态环境监督执法；组织指导和协调生态环境宣传教育工作；开展生态环境科技工作；开展生态环境对外合作交流；负责职责范围内的安全生产和职业健康、审批服务便民化等工作；完成市生态环境局交办的其他任务；统筹谋划本县生态环境保护各项工作，分解下达生态环境保护目标任务，统一指导、协调、监督生态环境保护工作，负责属地党委政府生态环境保护议事协调机构的办事机构的日常工作，协调属地党委政府履行生态环境保护主体责任；加强与有关部门联动执法，协同作战，集中解决突出生态环境问题。构建政府为主导、企业为主体、社会组织和公众共同参与的生态环境治理体系，实行最严格的生态环境保护制度，严守生态保护红线和环境质量底线，坚决打好污染防治攻坚战，筑牢嘉陵江上游生态屏障，保障生态安全。</w:t>
      </w:r>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rPr>
      </w:pPr>
      <w:bookmarkStart w:id="11" w:name="_Toc58062411"/>
      <w:bookmarkStart w:id="12" w:name="_Toc1244826374"/>
      <w:bookmarkStart w:id="13" w:name="_Toc792212185"/>
      <w:r>
        <w:rPr>
          <w:rFonts w:hint="eastAsia" w:ascii="黑体" w:hAnsi="黑体" w:eastAsia="黑体" w:cs="黑体"/>
          <w:b w:val="0"/>
          <w:bCs/>
        </w:rPr>
        <w:t>（二）</w:t>
      </w:r>
      <w:r>
        <w:rPr>
          <w:rFonts w:hint="eastAsia" w:ascii="黑体" w:hAnsi="黑体" w:eastAsia="黑体" w:cs="黑体"/>
          <w:b w:val="0"/>
          <w:bCs/>
          <w:lang w:val="en-US" w:eastAsia="zh-CN"/>
        </w:rPr>
        <w:t>广元市苍溪生态环境局</w:t>
      </w:r>
      <w:r>
        <w:rPr>
          <w:rFonts w:hint="eastAsia" w:ascii="黑体" w:hAnsi="黑体" w:eastAsia="黑体" w:cs="黑体"/>
          <w:b w:val="0"/>
          <w:bCs/>
          <w:lang w:val="en-US"/>
        </w:rPr>
        <w:t>2024</w:t>
      </w:r>
      <w:r>
        <w:rPr>
          <w:rFonts w:hint="eastAsia" w:ascii="黑体" w:hAnsi="黑体" w:eastAsia="黑体" w:cs="黑体"/>
          <w:b w:val="0"/>
          <w:bCs/>
        </w:rPr>
        <w:t>年重点工作</w:t>
      </w:r>
      <w:bookmarkEnd w:id="11"/>
      <w:bookmarkEnd w:id="12"/>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是深入打好污染防治攻坚战。坚持精准治污、科学治污、依法治污，持续深入打好大气污染防治攻坚战、小流域水环境治理攻坚战、环保基础设施提升攻坚战、畜禽养殖污染治理攻坚战、非煤矿山生态环境治理攻坚战，确保环境空气质量持续向好，常态实现一江清水出苍溪、土壤环境保持稳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是持续提升生态保护修复。加大生态保护力度，高质量推进山水林田湖草沙一体化保护和系统治理。严格自然保护地和生态保护红线监管，持续开展自然保护地“绿盾”行动，严格实行建设项目不可避让占用生态保护红线审查。加强生物多样性保护，加大外来入侵物种治理力度，提升生物安全管理水平。持续巩固国家生态文明建设示范区创建成果，扎实推进美丽四川建设先行试点县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是全力抓好重点环境问题整改。实行“清单制+责任制+红黄蓝”管理制度，全力抓好第二轮中央生态环境督察反馈问题整改，切实做好第二轮中央生态环保督察“回头看”和第三轮省级生态环保督察迎检工作。严格环境执法监管，开展环境矛盾纠纷和“邻避”风险化解，坚决整治群众身边突出生态环境问题，积极回应群众关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是积极服务县域经济高质量发展。强化“三线一单”环境准入管控，严格执行环评制度和环境承载评估，严把建设项目环保“进口关”和“出口关”，切实从源头上防控环境污染和生态破坏。成立工作专班，全力推进经开区规划修编环评、苍溪紫云化工园区申报认定等工作，高效推进工业硅等重点项目环评办理，全力以赴为经济发展和项目建设保驾护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是守牢生态安全底线。进一步提升环境应急能力建设，强化危险废物等领域环境隐患排查和风险防控，深化跨区域跨流域环境风险联控和突发环境事件应急联动，确保不发生较大突发环境事件。抓好核设施安全管理，加强核与辐射安全监管，坚决确保核与辐射安全，切实筑牢美丽苍溪建设的生态安全根基。</w:t>
      </w:r>
    </w:p>
    <w:p>
      <w:pPr>
        <w:pStyle w:val="2"/>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sz w:val="32"/>
          <w:szCs w:val="32"/>
          <w:lang w:val="en-US" w:eastAsia="zh-CN"/>
        </w:rPr>
      </w:pPr>
      <w:bookmarkStart w:id="14" w:name="_Toc2034474900"/>
      <w:bookmarkStart w:id="15" w:name="_Toc1307497175"/>
      <w:bookmarkStart w:id="16" w:name="_Toc707983249"/>
      <w:r>
        <w:rPr>
          <w:rFonts w:hint="eastAsia" w:ascii="黑体" w:hAnsi="黑体" w:eastAsia="黑体" w:cs="黑体"/>
          <w:b w:val="0"/>
          <w:bCs/>
          <w:sz w:val="32"/>
          <w:szCs w:val="32"/>
          <w:lang w:val="en-US" w:eastAsia="zh-CN"/>
        </w:rPr>
        <w:t>二、部门预算单位构成</w:t>
      </w:r>
      <w:bookmarkEnd w:id="14"/>
      <w:bookmarkEnd w:id="15"/>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我单位为广元市生态环境局的下属二级预算单位，本单位无下属机构，单位性质为性质单位。</w:t>
      </w:r>
      <w:bookmarkStart w:id="79" w:name="_GoBack"/>
      <w:bookmarkEnd w:id="79"/>
    </w:p>
    <w:p>
      <w:pPr>
        <w:pStyle w:val="2"/>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sz w:val="32"/>
          <w:szCs w:val="32"/>
          <w:lang w:val="en-US" w:eastAsia="zh-CN"/>
        </w:rPr>
      </w:pPr>
      <w:bookmarkStart w:id="17" w:name="_Toc1405000571"/>
      <w:bookmarkStart w:id="18" w:name="_Toc544089202"/>
      <w:bookmarkStart w:id="19" w:name="_Toc1684821462"/>
      <w:r>
        <w:rPr>
          <w:rFonts w:hint="eastAsia" w:ascii="黑体" w:hAnsi="黑体" w:eastAsia="黑体" w:cs="黑体"/>
          <w:b w:val="0"/>
          <w:bCs/>
          <w:sz w:val="32"/>
          <w:szCs w:val="32"/>
          <w:lang w:val="en-US" w:eastAsia="zh-CN"/>
        </w:rPr>
        <w:t>三、收支预算情况说明</w:t>
      </w:r>
      <w:bookmarkEnd w:id="17"/>
      <w:bookmarkEnd w:id="18"/>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按照综合预算的原则，广元市苍溪生态环境局所有收入和支出均纳入部门预算管理。收入包括：一般公共预算拨款收入；支出包括：社会保障和就业支出、卫生健康支出、节能环保支出、住房保障支出。广元市苍溪生态环境局2024年收支预算总数796.41万元,比2023年收支预算总数增加19.76万元，主要原因是人员变动，2024年在职职工增加。</w:t>
      </w:r>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lang w:val="en-US" w:eastAsia="zh-CN"/>
        </w:rPr>
      </w:pPr>
      <w:bookmarkStart w:id="20" w:name="_Toc852068413"/>
      <w:bookmarkStart w:id="21" w:name="_Toc376276133"/>
      <w:bookmarkStart w:id="22" w:name="_Toc1454162055"/>
      <w:r>
        <w:rPr>
          <w:rFonts w:hint="eastAsia" w:ascii="黑体" w:hAnsi="黑体" w:eastAsia="黑体" w:cs="黑体"/>
          <w:b w:val="0"/>
          <w:bCs/>
          <w:lang w:val="en-US" w:eastAsia="zh-CN"/>
        </w:rPr>
        <w:t>（一）收入预算情况</w:t>
      </w:r>
      <w:bookmarkEnd w:id="20"/>
      <w:bookmarkEnd w:id="21"/>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广元市苍溪生态环境局2024年收入预算796.41万元，其中：一般公共预算拨款收入796.41万元，占100%</w:t>
      </w:r>
      <w:r>
        <w:rPr>
          <w:rFonts w:hint="eastAsia" w:ascii="仿宋_GB2312" w:hAnsi="仿宋_GB2312" w:eastAsia="仿宋_GB2312" w:cs="仿宋_GB2312"/>
          <w:sz w:val="32"/>
          <w:szCs w:val="32"/>
          <w:lang w:val="en-US" w:eastAsia="zh-CN"/>
        </w:rPr>
        <w:t>。</w:t>
      </w:r>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lang w:val="en-US" w:eastAsia="zh-CN"/>
        </w:rPr>
      </w:pPr>
      <w:bookmarkStart w:id="23" w:name="_Toc172541506"/>
      <w:bookmarkStart w:id="24" w:name="_Toc2018326006"/>
      <w:bookmarkStart w:id="25" w:name="_Toc1783886750"/>
      <w:r>
        <w:rPr>
          <w:rFonts w:hint="eastAsia" w:ascii="黑体" w:hAnsi="黑体" w:eastAsia="黑体" w:cs="黑体"/>
          <w:b w:val="0"/>
          <w:bCs/>
          <w:lang w:val="en-US" w:eastAsia="zh-CN"/>
        </w:rPr>
        <w:t>（二）支出预算情况</w:t>
      </w:r>
      <w:bookmarkEnd w:id="23"/>
      <w:bookmarkEnd w:id="24"/>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广元市苍溪生态环境局2024年支出预算796.41万元，其中：基本支出626.36万元，占78.65%；项目支出170.05万元，占21.35%。</w:t>
      </w:r>
    </w:p>
    <w:p>
      <w:pPr>
        <w:pStyle w:val="2"/>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sz w:val="32"/>
          <w:szCs w:val="32"/>
          <w:lang w:val="en-US" w:eastAsia="zh-CN"/>
        </w:rPr>
      </w:pPr>
      <w:bookmarkStart w:id="26" w:name="_Toc1857187910"/>
      <w:bookmarkStart w:id="27" w:name="_Toc1765713326"/>
      <w:bookmarkStart w:id="28" w:name="_Toc1556942654"/>
      <w:r>
        <w:rPr>
          <w:rFonts w:hint="eastAsia" w:ascii="黑体" w:hAnsi="黑体" w:eastAsia="黑体" w:cs="黑体"/>
          <w:b w:val="0"/>
          <w:bCs/>
          <w:sz w:val="32"/>
          <w:szCs w:val="32"/>
          <w:lang w:val="en-US" w:eastAsia="zh-CN"/>
        </w:rPr>
        <w:t>四、财政拨款收支预算情况说明</w:t>
      </w:r>
      <w:bookmarkEnd w:id="26"/>
      <w:bookmarkEnd w:id="27"/>
      <w:bookmarkEnd w:id="2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广元市苍溪生态环境局2024年财政拨款收支预算总数796.41万元,比2023年财政拨款收支预算总数增加19.76万元，主要原因是人员变动，2024年在职职工增加。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收入包括：本年一般公共预算拨款收入796.41万元；支出包括：社会保障和就业支出56.73万元、卫生健康支出27.96万元、节能环保支出667.92万元、住房保障支出43.79万元。</w:t>
      </w:r>
    </w:p>
    <w:p>
      <w:pPr>
        <w:pStyle w:val="2"/>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sz w:val="32"/>
          <w:szCs w:val="32"/>
          <w:lang w:val="en-US" w:eastAsia="zh-CN"/>
        </w:rPr>
      </w:pPr>
      <w:bookmarkStart w:id="29" w:name="_Toc2028619863"/>
      <w:bookmarkStart w:id="30" w:name="_Toc1409531463"/>
      <w:bookmarkStart w:id="31" w:name="_Toc58720137"/>
      <w:r>
        <w:rPr>
          <w:rFonts w:hint="eastAsia" w:ascii="黑体" w:hAnsi="黑体" w:eastAsia="黑体" w:cs="黑体"/>
          <w:b w:val="0"/>
          <w:bCs/>
          <w:sz w:val="32"/>
          <w:szCs w:val="32"/>
          <w:lang w:val="en-US" w:eastAsia="zh-CN"/>
        </w:rPr>
        <w:t>五、一般公共预算当年拨款情况说明</w:t>
      </w:r>
      <w:bookmarkEnd w:id="29"/>
      <w:bookmarkEnd w:id="30"/>
      <w:bookmarkEnd w:id="31"/>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lang w:val="en-US" w:eastAsia="zh-CN"/>
        </w:rPr>
      </w:pPr>
      <w:bookmarkStart w:id="32" w:name="_Toc555323820"/>
      <w:bookmarkStart w:id="33" w:name="_Toc1079784292"/>
      <w:bookmarkStart w:id="34" w:name="_Toc323270623"/>
      <w:r>
        <w:rPr>
          <w:rFonts w:hint="eastAsia" w:ascii="黑体" w:hAnsi="黑体" w:eastAsia="黑体" w:cs="黑体"/>
          <w:b w:val="0"/>
          <w:bCs/>
          <w:lang w:val="en-US" w:eastAsia="zh-CN"/>
        </w:rPr>
        <w:t>（一）一般公共预算当年拨款规模变化情况</w:t>
      </w:r>
      <w:bookmarkEnd w:id="32"/>
      <w:bookmarkEnd w:id="33"/>
      <w:bookmarkEnd w:id="3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广元市苍溪生态环境局2024年一般公共预算当年拨款796.41万元，比2023年预算数增加19.76万元，主要原因是人员变动，2024年在职职工增加。</w:t>
      </w:r>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lang w:val="en-US" w:eastAsia="zh-CN"/>
        </w:rPr>
      </w:pPr>
      <w:bookmarkStart w:id="35" w:name="_Toc1182310272"/>
      <w:bookmarkStart w:id="36" w:name="_Toc201473591"/>
      <w:bookmarkStart w:id="37" w:name="_Toc1012973843"/>
      <w:r>
        <w:rPr>
          <w:rFonts w:hint="eastAsia" w:ascii="黑体" w:hAnsi="黑体" w:eastAsia="黑体" w:cs="黑体"/>
          <w:b w:val="0"/>
          <w:bCs/>
          <w:lang w:val="en-US" w:eastAsia="zh-CN"/>
        </w:rPr>
        <w:t>（二）一般公共预算当年拨款结构情况</w:t>
      </w:r>
      <w:bookmarkEnd w:id="35"/>
      <w:bookmarkEnd w:id="36"/>
      <w:bookmarkEnd w:id="3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社会保障和就业支出56.73万元，占7.12%；卫生健康支出27.96万元，占3.51%；节能环保支出667.92万元，占83.87%；住房保障支出43.79万元，占5.50%。</w:t>
      </w:r>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lang w:val="en-US" w:eastAsia="zh-CN"/>
        </w:rPr>
      </w:pPr>
      <w:bookmarkStart w:id="38" w:name="_Toc578228488"/>
      <w:bookmarkStart w:id="39" w:name="_Toc1690118729"/>
      <w:bookmarkStart w:id="40" w:name="_Toc1666843068"/>
      <w:r>
        <w:rPr>
          <w:rFonts w:hint="eastAsia" w:ascii="黑体" w:hAnsi="黑体" w:eastAsia="黑体" w:cs="黑体"/>
          <w:b w:val="0"/>
          <w:bCs/>
          <w:lang w:val="en-US" w:eastAsia="zh-CN"/>
        </w:rPr>
        <w:t>（三）一般公共预算当年拨款具体使用情况</w:t>
      </w:r>
      <w:bookmarkEnd w:id="38"/>
      <w:bookmarkEnd w:id="39"/>
      <w:bookmarkEnd w:id="4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1.社会保障和就业（类）行政事业单位养老支出（款）机关事业单位基本养老保险缴费支出（项）2024年预算数为56.73万元，主要用于：实施养老保险制度由单位缴纳的基本养老保险支出。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2.卫生健康（类）行政事业单位医疗（款）行政单位医疗（项）2024年预算数为27.96万元，主要用于：机关及参公管理事业单位按规定由单位缴纳的基本医疗保险支出。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3.节能环保支出（类）环境保护管理事务（款）行政运行（项）2024年预算数为497.87万元，主要用于：行政单位工资奖金津补贴、其他工资福利支出、办公经费、水电费、印刷费、会议费、培训费、委托业务费、公务接待费、公务用车运行维护费、维修（护）费、党建经费、工会经费、福利费、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4.节能环保支出（类）环境保护管理事务（款）生态环境保护宣传（项）2024年预算数为30万元，主要用于：生态环境保护宣教和美丽四川先行县经费。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5.节能环保支出（类）环境监测与监察（款）其他环境监测与监察支出（项）2024年预算数为80万元，主要用于：环境监察执法、应急工作、环境质量监测和设备检定维护以及环境监测委托业务费的支出。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6.节能环保支出（类）其他节能环保支出（款）其他节能环保支出（项）2024年预算数为</w:t>
      </w:r>
      <w:r>
        <w:rPr>
          <w:rFonts w:hint="default" w:ascii="楷体_GB2312" w:hAnsi="楷体_GB2312" w:eastAsia="楷体_GB2312" w:cs="楷体_GB2312"/>
          <w:sz w:val="32"/>
          <w:szCs w:val="32"/>
          <w:lang w:eastAsia="zh-CN"/>
        </w:rPr>
        <w:t>60.05</w:t>
      </w:r>
      <w:r>
        <w:rPr>
          <w:rFonts w:hint="eastAsia" w:ascii="楷体_GB2312" w:hAnsi="楷体_GB2312" w:eastAsia="楷体_GB2312" w:cs="楷体_GB2312"/>
          <w:sz w:val="32"/>
          <w:szCs w:val="32"/>
          <w:lang w:val="en-US" w:eastAsia="zh-CN"/>
        </w:rPr>
        <w:t>万元，主要用于：环境保护监督管理、污染防治、行政审批及项目争取工作经费的支出。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7.住房保障（类）住房改革支出（款）住房公积金（项）2024年预算数为43.79万元，主要用于：部门按规定为职工缴纳的住房公积金支出。</w:t>
      </w:r>
    </w:p>
    <w:p>
      <w:pPr>
        <w:pStyle w:val="2"/>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sz w:val="32"/>
          <w:szCs w:val="32"/>
          <w:lang w:val="en-US" w:eastAsia="zh-CN"/>
        </w:rPr>
      </w:pPr>
      <w:bookmarkStart w:id="41" w:name="_Toc171551286"/>
      <w:bookmarkStart w:id="42" w:name="_Toc389351644"/>
      <w:bookmarkStart w:id="43" w:name="_Toc1916100460"/>
      <w:r>
        <w:rPr>
          <w:rFonts w:hint="eastAsia" w:ascii="黑体" w:hAnsi="黑体" w:eastAsia="黑体" w:cs="黑体"/>
          <w:b w:val="0"/>
          <w:bCs/>
          <w:sz w:val="32"/>
          <w:szCs w:val="32"/>
          <w:lang w:val="en-US" w:eastAsia="zh-CN"/>
        </w:rPr>
        <w:t>六、一般公共预算基本支出情况说明</w:t>
      </w:r>
      <w:bookmarkEnd w:id="41"/>
      <w:bookmarkEnd w:id="42"/>
      <w:bookmarkEnd w:id="4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广元市苍溪生态环境局2024年一般公共预算基本支出626.36万元，其中：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人员经费497.81万元，主要包括：基本工资、津贴补贴、奖金、绩效工资、社会保险缴费、住房公积金、</w:t>
      </w:r>
      <w:r>
        <w:rPr>
          <w:rFonts w:hint="default" w:ascii="楷体_GB2312" w:hAnsi="楷体_GB2312" w:eastAsia="楷体_GB2312" w:cs="楷体_GB2312"/>
          <w:sz w:val="32"/>
          <w:szCs w:val="32"/>
          <w:lang w:eastAsia="zh-CN"/>
        </w:rPr>
        <w:t>生活</w:t>
      </w:r>
      <w:r>
        <w:rPr>
          <w:rFonts w:hint="eastAsia" w:ascii="楷体_GB2312" w:hAnsi="楷体_GB2312" w:eastAsia="楷体_GB2312" w:cs="楷体_GB2312"/>
          <w:sz w:val="32"/>
          <w:szCs w:val="32"/>
          <w:lang w:val="en-US" w:eastAsia="zh-CN"/>
        </w:rPr>
        <w:t>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用经费128.55万元，主要包括：办公费、印刷费、水费、电费、物业管理费、差旅费、维修（护）费、会议费、培训费、公务接待费、劳务费、工会经费、福利费、公务用车运行维护费、其他交通费用、其他商品和服务支出等支出。</w:t>
      </w:r>
    </w:p>
    <w:p>
      <w:pPr>
        <w:pStyle w:val="2"/>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sz w:val="32"/>
          <w:szCs w:val="32"/>
          <w:lang w:val="en-US" w:eastAsia="zh-CN"/>
        </w:rPr>
      </w:pPr>
      <w:bookmarkStart w:id="44" w:name="_Toc628472088"/>
      <w:bookmarkStart w:id="45" w:name="_Toc1061270992"/>
      <w:bookmarkStart w:id="46" w:name="_Toc1023487354"/>
      <w:r>
        <w:rPr>
          <w:rFonts w:hint="eastAsia" w:ascii="黑体" w:hAnsi="黑体" w:eastAsia="黑体" w:cs="黑体"/>
          <w:b w:val="0"/>
          <w:bCs/>
          <w:sz w:val="32"/>
          <w:szCs w:val="32"/>
          <w:lang w:val="en-US" w:eastAsia="zh-CN"/>
        </w:rPr>
        <w:t>七、“三公”经费财政拨款预算安排情况说明</w:t>
      </w:r>
      <w:bookmarkEnd w:id="44"/>
      <w:bookmarkEnd w:id="45"/>
      <w:bookmarkEnd w:id="4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广元市苍溪生态环境局2024年“三公”经费财政拨款预算数14万元，其中：公务接待费7万元，公务用车购置及运行维护费7万元，因公出国（境）经费0万元。</w:t>
      </w:r>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lang w:val="en-US" w:eastAsia="zh-CN"/>
        </w:rPr>
      </w:pPr>
      <w:bookmarkStart w:id="47" w:name="_Toc1383836255"/>
      <w:bookmarkStart w:id="48" w:name="_Toc2028768407"/>
      <w:bookmarkStart w:id="49" w:name="_Toc468169762"/>
      <w:r>
        <w:rPr>
          <w:rFonts w:hint="eastAsia" w:ascii="黑体" w:hAnsi="黑体" w:eastAsia="黑体" w:cs="黑体"/>
          <w:b w:val="0"/>
          <w:bCs/>
          <w:lang w:val="en-US" w:eastAsia="zh-CN"/>
        </w:rPr>
        <w:t>（一）公务接待费</w:t>
      </w:r>
      <w:bookmarkEnd w:id="47"/>
      <w:bookmarkEnd w:id="48"/>
      <w:bookmarkEnd w:id="4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2024年公务接待费计划用于执行接待考察调研、检查指导等公务活动开支的交通费、住宿费、用餐费等。</w:t>
      </w:r>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lang w:val="en-US" w:eastAsia="zh-CN"/>
        </w:rPr>
      </w:pPr>
      <w:bookmarkStart w:id="50" w:name="_Toc179124410"/>
      <w:bookmarkStart w:id="51" w:name="_Toc525870012"/>
      <w:bookmarkStart w:id="52" w:name="_Toc1912430155"/>
      <w:r>
        <w:rPr>
          <w:rFonts w:hint="eastAsia" w:ascii="黑体" w:hAnsi="黑体" w:eastAsia="黑体" w:cs="黑体"/>
          <w:b w:val="0"/>
          <w:bCs/>
          <w:lang w:val="en-US" w:eastAsia="zh-CN"/>
        </w:rPr>
        <w:t>（二）公务用车购置及运行维护费</w:t>
      </w:r>
      <w:bookmarkEnd w:id="50"/>
      <w:bookmarkEnd w:id="51"/>
      <w:bookmarkEnd w:id="5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公务用车购置及运行维护费与2023年预算相比下降17万元，主要原因是2024年将特定项目类公务用车运行维护费调整至其他交通费用。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单位现有公务用车4辆，其中：轿车2辆，旅行车（含商务车）0辆，越野车2辆。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2024年安排公务用车运行维护费7万元，用于4辆公务用车燃油、过路（桥）、维修、保险等方面支出，主要保障环境监察执法、环境保护监督管理、环境质量监测等所需的公务用车燃料费、维修费、过路过桥费、保险费等支出。</w:t>
      </w:r>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default" w:ascii="黑体" w:hAnsi="黑体" w:eastAsia="黑体" w:cs="黑体"/>
          <w:b w:val="0"/>
          <w:bCs/>
          <w:lang w:val="en-US" w:eastAsia="zh-CN"/>
        </w:rPr>
      </w:pPr>
      <w:bookmarkStart w:id="53" w:name="_Toc1479634476"/>
      <w:bookmarkStart w:id="54" w:name="_Toc1370051727"/>
      <w:bookmarkStart w:id="55" w:name="_Toc930950551"/>
      <w:r>
        <w:rPr>
          <w:rFonts w:hint="eastAsia" w:ascii="黑体" w:hAnsi="黑体" w:eastAsia="黑体" w:cs="黑体"/>
          <w:b w:val="0"/>
          <w:bCs/>
          <w:lang w:val="en-US" w:eastAsia="zh-CN"/>
        </w:rPr>
        <w:t>（三）因公出国（境）经费</w:t>
      </w:r>
      <w:bookmarkEnd w:id="53"/>
      <w:bookmarkEnd w:id="54"/>
      <w:bookmarkEnd w:id="5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因公出国（境）经费与202</w:t>
      </w:r>
      <w:r>
        <w:rPr>
          <w:rFonts w:hint="default" w:ascii="楷体_GB2312" w:hAnsi="楷体_GB2312" w:eastAsia="楷体_GB2312" w:cs="楷体_GB2312"/>
          <w:sz w:val="32"/>
          <w:szCs w:val="32"/>
          <w:lang w:eastAsia="zh-CN"/>
        </w:rPr>
        <w:t>3</w:t>
      </w:r>
      <w:r>
        <w:rPr>
          <w:rFonts w:hint="eastAsia" w:ascii="楷体_GB2312" w:hAnsi="楷体_GB2312" w:eastAsia="楷体_GB2312" w:cs="楷体_GB2312"/>
          <w:sz w:val="32"/>
          <w:szCs w:val="32"/>
          <w:lang w:val="en-US" w:eastAsia="zh-CN"/>
        </w:rPr>
        <w:t>年预算相比持平。2024年无因公出国（境）计划。</w:t>
      </w:r>
    </w:p>
    <w:p>
      <w:pPr>
        <w:pStyle w:val="2"/>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sz w:val="32"/>
          <w:szCs w:val="32"/>
          <w:lang w:val="en-US" w:eastAsia="zh-CN"/>
        </w:rPr>
      </w:pPr>
      <w:bookmarkStart w:id="56" w:name="_Toc261634471"/>
      <w:bookmarkStart w:id="57" w:name="_Toc1033663581"/>
      <w:bookmarkStart w:id="58" w:name="_Toc1674096493"/>
      <w:r>
        <w:rPr>
          <w:rFonts w:hint="eastAsia" w:ascii="黑体" w:hAnsi="黑体" w:eastAsia="黑体" w:cs="黑体"/>
          <w:b w:val="0"/>
          <w:bCs/>
          <w:sz w:val="32"/>
          <w:szCs w:val="32"/>
          <w:lang w:val="en-US" w:eastAsia="zh-CN"/>
        </w:rPr>
        <w:t>八、政府性基金预算支出情况说明</w:t>
      </w:r>
      <w:bookmarkEnd w:id="56"/>
      <w:bookmarkEnd w:id="57"/>
      <w:bookmarkEnd w:id="5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广元市苍溪生态环境局2024年无政府性基金预算拨款安排的支出。</w:t>
      </w:r>
    </w:p>
    <w:p>
      <w:pPr>
        <w:pStyle w:val="2"/>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sz w:val="32"/>
          <w:szCs w:val="32"/>
          <w:lang w:val="en-US" w:eastAsia="zh-CN"/>
        </w:rPr>
      </w:pPr>
      <w:bookmarkStart w:id="59" w:name="_Toc1359243478"/>
      <w:bookmarkStart w:id="60" w:name="_Toc1253612600"/>
      <w:bookmarkStart w:id="61" w:name="_Toc1545162952"/>
      <w:r>
        <w:rPr>
          <w:rFonts w:hint="eastAsia" w:ascii="黑体" w:hAnsi="黑体" w:eastAsia="黑体" w:cs="黑体"/>
          <w:b w:val="0"/>
          <w:bCs/>
          <w:sz w:val="32"/>
          <w:szCs w:val="32"/>
          <w:lang w:val="en-US" w:eastAsia="zh-CN"/>
        </w:rPr>
        <w:t>九、国有资本经营预算支出情况说明</w:t>
      </w:r>
      <w:bookmarkEnd w:id="59"/>
      <w:bookmarkEnd w:id="60"/>
      <w:bookmarkEnd w:id="6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广元市苍溪生态环境局2024年无国有资本经营预算拨款安排的支出。</w:t>
      </w:r>
    </w:p>
    <w:p>
      <w:pPr>
        <w:pStyle w:val="2"/>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sz w:val="32"/>
          <w:szCs w:val="32"/>
          <w:lang w:val="en-US" w:eastAsia="zh-CN"/>
        </w:rPr>
      </w:pPr>
      <w:bookmarkStart w:id="62" w:name="_Toc283385804"/>
      <w:bookmarkStart w:id="63" w:name="_Toc1995517593"/>
      <w:bookmarkStart w:id="64" w:name="_Toc2040501125"/>
      <w:r>
        <w:rPr>
          <w:rFonts w:hint="eastAsia" w:ascii="黑体" w:hAnsi="黑体" w:eastAsia="黑体" w:cs="黑体"/>
          <w:b w:val="0"/>
          <w:bCs/>
          <w:sz w:val="32"/>
          <w:szCs w:val="32"/>
          <w:lang w:val="en-US" w:eastAsia="zh-CN"/>
        </w:rPr>
        <w:t>十、其他重要事项的情况说明</w:t>
      </w:r>
      <w:bookmarkEnd w:id="62"/>
      <w:bookmarkEnd w:id="63"/>
      <w:bookmarkEnd w:id="64"/>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lang w:val="en-US" w:eastAsia="zh-CN"/>
        </w:rPr>
      </w:pPr>
      <w:bookmarkStart w:id="65" w:name="_Toc1335045708"/>
      <w:bookmarkStart w:id="66" w:name="_Toc1200560793"/>
      <w:bookmarkStart w:id="67" w:name="_Toc386324706"/>
      <w:r>
        <w:rPr>
          <w:rFonts w:hint="eastAsia" w:ascii="黑体" w:hAnsi="黑体" w:eastAsia="黑体" w:cs="黑体"/>
          <w:b w:val="0"/>
          <w:bCs/>
          <w:lang w:val="en-US" w:eastAsia="zh-CN"/>
        </w:rPr>
        <w:t>（一）机关运行经费</w:t>
      </w:r>
      <w:bookmarkEnd w:id="65"/>
      <w:bookmarkEnd w:id="66"/>
      <w:bookmarkEnd w:id="6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2024年，广元市苍溪生态环境局的机关运行经费财政拨款预算为128.55万元，比2023年预算增加7.75万元，增长6.42%。主要原因人员变动，202</w:t>
      </w:r>
      <w:r>
        <w:rPr>
          <w:rFonts w:hint="default" w:ascii="楷体_GB2312" w:hAnsi="楷体_GB2312" w:eastAsia="楷体_GB2312" w:cs="楷体_GB2312"/>
          <w:sz w:val="32"/>
          <w:szCs w:val="32"/>
          <w:lang w:eastAsia="zh-CN"/>
        </w:rPr>
        <w:t>4</w:t>
      </w:r>
      <w:r>
        <w:rPr>
          <w:rFonts w:hint="eastAsia" w:ascii="楷体_GB2312" w:hAnsi="楷体_GB2312" w:eastAsia="楷体_GB2312" w:cs="楷体_GB2312"/>
          <w:sz w:val="32"/>
          <w:szCs w:val="32"/>
          <w:lang w:val="en-US" w:eastAsia="zh-CN"/>
        </w:rPr>
        <w:t>年在职职工增加。</w:t>
      </w:r>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lang w:val="en-US" w:eastAsia="zh-CN"/>
        </w:rPr>
      </w:pPr>
      <w:bookmarkStart w:id="68" w:name="_Toc1273773239"/>
      <w:bookmarkStart w:id="69" w:name="_Toc1501166372"/>
      <w:bookmarkStart w:id="70" w:name="_Toc82656333"/>
      <w:r>
        <w:rPr>
          <w:rFonts w:hint="eastAsia" w:ascii="黑体" w:hAnsi="黑体" w:eastAsia="黑体" w:cs="黑体"/>
          <w:b w:val="0"/>
          <w:bCs/>
          <w:lang w:val="en-US" w:eastAsia="zh-CN"/>
        </w:rPr>
        <w:t>（二）政府采购情况</w:t>
      </w:r>
      <w:bookmarkEnd w:id="68"/>
      <w:bookmarkEnd w:id="69"/>
      <w:bookmarkEnd w:id="70"/>
    </w:p>
    <w:p>
      <w:pPr>
        <w:pStyle w:val="3"/>
        <w:keepNext/>
        <w:keepLines/>
        <w:pageBreakBefore w:val="0"/>
        <w:widowControl w:val="0"/>
        <w:kinsoku/>
        <w:wordWrap/>
        <w:overflowPunct/>
        <w:topLinePunct w:val="0"/>
        <w:autoSpaceDE/>
        <w:autoSpaceDN/>
        <w:bidi w:val="0"/>
        <w:adjustRightInd/>
        <w:snapToGrid/>
        <w:spacing w:before="0" w:after="0" w:line="576" w:lineRule="exact"/>
        <w:ind w:left="638" w:leftChars="304" w:firstLine="0" w:firstLineChars="0"/>
        <w:textAlignment w:val="auto"/>
        <w:rPr>
          <w:rFonts w:hint="default" w:ascii="楷体_GB2312" w:hAnsi="楷体_GB2312" w:eastAsia="楷体_GB2312" w:cs="楷体_GB2312"/>
          <w:b w:val="0"/>
          <w:color w:val="auto"/>
          <w:kern w:val="2"/>
          <w:sz w:val="32"/>
          <w:szCs w:val="32"/>
          <w:lang w:eastAsia="zh-CN" w:bidi="ar-SA"/>
        </w:rPr>
      </w:pPr>
      <w:bookmarkStart w:id="71" w:name="_Toc1848581656"/>
      <w:r>
        <w:rPr>
          <w:rFonts w:hint="eastAsia" w:ascii="楷体_GB2312" w:hAnsi="楷体_GB2312" w:eastAsia="楷体_GB2312" w:cs="楷体_GB2312"/>
          <w:b w:val="0"/>
          <w:color w:val="auto"/>
          <w:kern w:val="2"/>
          <w:sz w:val="32"/>
          <w:szCs w:val="32"/>
          <w:lang w:val="en-US" w:eastAsia="zh-CN" w:bidi="ar-SA"/>
        </w:rPr>
        <w:t>2024年，广元市苍溪生态环境局安排政府采购预算0万元</w:t>
      </w:r>
      <w:r>
        <w:rPr>
          <w:rFonts w:hint="default" w:ascii="楷体_GB2312" w:hAnsi="楷体_GB2312" w:eastAsia="楷体_GB2312" w:cs="楷体_GB2312"/>
          <w:b w:val="0"/>
          <w:color w:val="auto"/>
          <w:kern w:val="2"/>
          <w:sz w:val="32"/>
          <w:szCs w:val="32"/>
          <w:lang w:eastAsia="zh-CN" w:bidi="ar-SA"/>
        </w:rPr>
        <w:t>。</w:t>
      </w:r>
      <w:bookmarkEnd w:id="71"/>
    </w:p>
    <w:p>
      <w:pPr>
        <w:pStyle w:val="3"/>
        <w:keepNext/>
        <w:keepLines/>
        <w:pageBreakBefore w:val="0"/>
        <w:widowControl w:val="0"/>
        <w:kinsoku/>
        <w:wordWrap/>
        <w:overflowPunct/>
        <w:topLinePunct w:val="0"/>
        <w:autoSpaceDE/>
        <w:autoSpaceDN/>
        <w:bidi w:val="0"/>
        <w:adjustRightInd/>
        <w:snapToGrid/>
        <w:spacing w:before="0" w:after="0" w:line="576" w:lineRule="exact"/>
        <w:ind w:left="638" w:leftChars="304" w:firstLine="0" w:firstLineChars="0"/>
        <w:textAlignment w:val="auto"/>
        <w:rPr>
          <w:rFonts w:hint="eastAsia" w:ascii="黑体" w:hAnsi="黑体" w:eastAsia="黑体" w:cs="黑体"/>
          <w:b w:val="0"/>
          <w:bCs/>
          <w:lang w:val="en-US" w:eastAsia="zh-CN"/>
        </w:rPr>
      </w:pPr>
      <w:bookmarkStart w:id="72" w:name="_Toc636252620"/>
      <w:r>
        <w:rPr>
          <w:rFonts w:hint="eastAsia" w:ascii="黑体" w:hAnsi="黑体" w:eastAsia="黑体" w:cs="黑体"/>
          <w:b w:val="0"/>
          <w:bCs/>
          <w:lang w:val="en-US" w:eastAsia="zh-CN"/>
        </w:rPr>
        <w:t>（三）国有资产占有使用情况</w:t>
      </w:r>
      <w:bookmarkEnd w:id="7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截至2023年底，广元市苍溪生态环境局共有车辆4辆，其中</w:t>
      </w:r>
      <w:r>
        <w:rPr>
          <w:rFonts w:hint="default"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执法执勤用车4辆。单位无价值200万元以上的大型设备。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2024年部门预算未安排购置车辆及单位价值200万元以上大型设备。</w:t>
      </w:r>
    </w:p>
    <w:p>
      <w:pPr>
        <w:pStyle w:val="3"/>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lang w:val="en-US" w:eastAsia="zh-CN"/>
        </w:rPr>
      </w:pPr>
      <w:bookmarkStart w:id="73" w:name="_Toc704909784"/>
      <w:bookmarkStart w:id="74" w:name="_Toc655357718"/>
      <w:bookmarkStart w:id="75" w:name="_Toc1936078707"/>
      <w:r>
        <w:rPr>
          <w:rFonts w:hint="eastAsia" w:ascii="黑体" w:hAnsi="黑体" w:eastAsia="黑体" w:cs="黑体"/>
          <w:b w:val="0"/>
          <w:bCs/>
          <w:lang w:val="en-US" w:eastAsia="zh-CN"/>
        </w:rPr>
        <w:t>（四）绩效目标设置情况</w:t>
      </w:r>
      <w:bookmarkEnd w:id="73"/>
      <w:bookmarkEnd w:id="74"/>
      <w:bookmarkEnd w:id="7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2024年广元市苍溪生态环境局开展绩效目标管理的项目13个，涉及预算796.41万元。其中：人员类项目5个，涉及预算497.81万元；运转类项目4个，涉及预算128.55万元；特定目标类项目4个，涉及预算170.05万元。</w:t>
      </w:r>
    </w:p>
    <w:p>
      <w:pPr>
        <w:pStyle w:val="2"/>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cs="黑体"/>
          <w:b w:val="0"/>
          <w:bCs/>
          <w:sz w:val="32"/>
          <w:szCs w:val="32"/>
          <w:lang w:val="en-US" w:eastAsia="zh-CN"/>
        </w:rPr>
      </w:pPr>
      <w:bookmarkStart w:id="76" w:name="_Toc747095886"/>
      <w:bookmarkStart w:id="77" w:name="_Toc1305253582"/>
      <w:bookmarkStart w:id="78" w:name="_Toc469474673"/>
      <w:r>
        <w:rPr>
          <w:rFonts w:hint="eastAsia" w:ascii="黑体" w:hAnsi="黑体" w:eastAsia="黑体" w:cs="黑体"/>
          <w:b w:val="0"/>
          <w:bCs/>
          <w:sz w:val="32"/>
          <w:szCs w:val="32"/>
          <w:lang w:val="en-US" w:eastAsia="zh-CN"/>
        </w:rPr>
        <w:t>十一、名词解释</w:t>
      </w:r>
      <w:bookmarkEnd w:id="76"/>
      <w:bookmarkEnd w:id="77"/>
      <w:bookmarkEnd w:id="7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（一）财政拨款收入：指市财政当年安排的财政预算收入。按现行管理制度，部门预算中反映的财政拨款包括一般公共预算拨款和政府性基金预算拨款。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（二）节能环保支出（类）环境保护管理事务（款）行政运行（项）:指部门用于人员和日常公用经费的支出。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（三）节能环保支出（类）环境保护管理事务（款）生态环境保护宣传（项）：指部门用于完成生态环境保护宣传与教育及生态文明示范县创建工作经费的支出。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（四）节能环保支出（类）环境监测与监察（款）其他环境监测与监察支出（项）：指部门用于完成环境监察执法、应急工作、环境质量监测和设备检定维护以及环境监测委托业务费的支出。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（五）节能环保支出（类）其他节能环保支出（款）其他节能环保支出（项）：指部门用于完成环境保护监督管理、污染防治、行政审批、项目争取等工作经费的支出。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（六）社会保障和就业支出（类）行政事业单位养老支出（款）机关事业单位基本养老保险缴费支出（项）：指部门实施养老保险制度由单位缴纳的养老保险支出。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（七）卫生健康支出（类）行政事业单位医疗（款）行政单位医疗（项）：指机关及参公管理事业单位用于单位应缴纳基本医疗保险支出。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（八）住房保障支出（类）住房改革支出（款）住房公积金（项）：指按照《住房公积金管理条例》的规定，由单位及其在职职工缴存的长期住房储金。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（九）基本支出：指为保证机构正常运转，完成日常工作任务而发生的人员支出和公用支出。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一）“三公”经费：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附件：</w:t>
      </w:r>
      <w:r>
        <w:rPr>
          <w:rFonts w:hint="default" w:ascii="楷体_GB2312" w:hAnsi="楷体_GB2312" w:eastAsia="楷体_GB2312" w:cs="楷体_GB2312"/>
          <w:sz w:val="32"/>
          <w:szCs w:val="32"/>
          <w:lang w:eastAsia="zh-CN"/>
        </w:rPr>
        <w:t>单位</w:t>
      </w:r>
      <w:r>
        <w:rPr>
          <w:rFonts w:hint="eastAsia" w:ascii="楷体_GB2312" w:hAnsi="楷体_GB2312" w:eastAsia="楷体_GB2312" w:cs="楷体_GB2312"/>
          <w:sz w:val="32"/>
          <w:szCs w:val="32"/>
          <w:lang w:val="en-US" w:eastAsia="zh-CN"/>
        </w:rPr>
        <w:t>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fe6a3da7-986a-4533-9730-7752bf338b53"/>
  </w:docVars>
  <w:rsids>
    <w:rsidRoot w:val="00000000"/>
    <w:rsid w:val="000D01B0"/>
    <w:rsid w:val="012352D1"/>
    <w:rsid w:val="01EA2D73"/>
    <w:rsid w:val="01F67DC4"/>
    <w:rsid w:val="02775E4F"/>
    <w:rsid w:val="045D2E23"/>
    <w:rsid w:val="05C55C85"/>
    <w:rsid w:val="07E06245"/>
    <w:rsid w:val="08713341"/>
    <w:rsid w:val="090917CB"/>
    <w:rsid w:val="099A749B"/>
    <w:rsid w:val="0AA7304A"/>
    <w:rsid w:val="0B5036E2"/>
    <w:rsid w:val="0C965124"/>
    <w:rsid w:val="0FD91EF8"/>
    <w:rsid w:val="0FFF56D6"/>
    <w:rsid w:val="13946135"/>
    <w:rsid w:val="15B900D5"/>
    <w:rsid w:val="15D31197"/>
    <w:rsid w:val="16B34B25"/>
    <w:rsid w:val="16FC0555"/>
    <w:rsid w:val="18664544"/>
    <w:rsid w:val="186F1D24"/>
    <w:rsid w:val="192F70D4"/>
    <w:rsid w:val="1A162E87"/>
    <w:rsid w:val="1A7A6085"/>
    <w:rsid w:val="1AFF658A"/>
    <w:rsid w:val="1B886580"/>
    <w:rsid w:val="1BA64C58"/>
    <w:rsid w:val="1CAD2336"/>
    <w:rsid w:val="1CB47291"/>
    <w:rsid w:val="1D14303A"/>
    <w:rsid w:val="1D8B67FB"/>
    <w:rsid w:val="1E3B3D7D"/>
    <w:rsid w:val="1ECB7DF7"/>
    <w:rsid w:val="1F751511"/>
    <w:rsid w:val="1F7BF06F"/>
    <w:rsid w:val="1FEE4B73"/>
    <w:rsid w:val="206C2FB5"/>
    <w:rsid w:val="21022930"/>
    <w:rsid w:val="22EB4133"/>
    <w:rsid w:val="23CE9849"/>
    <w:rsid w:val="259D3570"/>
    <w:rsid w:val="25BC57A4"/>
    <w:rsid w:val="263E08AF"/>
    <w:rsid w:val="26CD6B53"/>
    <w:rsid w:val="26D27249"/>
    <w:rsid w:val="279D33B3"/>
    <w:rsid w:val="28180C8B"/>
    <w:rsid w:val="28CA642A"/>
    <w:rsid w:val="28F74D45"/>
    <w:rsid w:val="2A693A20"/>
    <w:rsid w:val="2BFD1AF3"/>
    <w:rsid w:val="2CD64A41"/>
    <w:rsid w:val="2CE42C32"/>
    <w:rsid w:val="2D9D410D"/>
    <w:rsid w:val="2DCA6ECC"/>
    <w:rsid w:val="2E3F51C4"/>
    <w:rsid w:val="2F212B1B"/>
    <w:rsid w:val="2F666780"/>
    <w:rsid w:val="303E4DEF"/>
    <w:rsid w:val="304A2EDB"/>
    <w:rsid w:val="30BB2AFC"/>
    <w:rsid w:val="313B2D9B"/>
    <w:rsid w:val="342A06C4"/>
    <w:rsid w:val="36421CF5"/>
    <w:rsid w:val="37692D7C"/>
    <w:rsid w:val="39504729"/>
    <w:rsid w:val="39F304DD"/>
    <w:rsid w:val="3A606BEE"/>
    <w:rsid w:val="3AD31830"/>
    <w:rsid w:val="3B6224F2"/>
    <w:rsid w:val="3C241E9D"/>
    <w:rsid w:val="3F7D319F"/>
    <w:rsid w:val="41384420"/>
    <w:rsid w:val="42740625"/>
    <w:rsid w:val="42F425C9"/>
    <w:rsid w:val="43212C92"/>
    <w:rsid w:val="432B58BF"/>
    <w:rsid w:val="436037BB"/>
    <w:rsid w:val="437B3741"/>
    <w:rsid w:val="44D94BC1"/>
    <w:rsid w:val="46E56B96"/>
    <w:rsid w:val="48747676"/>
    <w:rsid w:val="48AE4FC8"/>
    <w:rsid w:val="48CB1080"/>
    <w:rsid w:val="495E69EE"/>
    <w:rsid w:val="4B0E2273"/>
    <w:rsid w:val="4B7F2C4C"/>
    <w:rsid w:val="4C3C0B3D"/>
    <w:rsid w:val="4CE511D4"/>
    <w:rsid w:val="4E5E2FEC"/>
    <w:rsid w:val="4F2A2E8D"/>
    <w:rsid w:val="51907961"/>
    <w:rsid w:val="524F15CA"/>
    <w:rsid w:val="52D23FA9"/>
    <w:rsid w:val="53057EDB"/>
    <w:rsid w:val="53D44808"/>
    <w:rsid w:val="54063F0A"/>
    <w:rsid w:val="54244390"/>
    <w:rsid w:val="543D5452"/>
    <w:rsid w:val="54662A63"/>
    <w:rsid w:val="54A92EF5"/>
    <w:rsid w:val="54B3330D"/>
    <w:rsid w:val="55365E14"/>
    <w:rsid w:val="56524458"/>
    <w:rsid w:val="56FF91BF"/>
    <w:rsid w:val="57783371"/>
    <w:rsid w:val="58064E12"/>
    <w:rsid w:val="58B8797C"/>
    <w:rsid w:val="58DA0EBA"/>
    <w:rsid w:val="5BEC1C38"/>
    <w:rsid w:val="5BFEE015"/>
    <w:rsid w:val="5C732359"/>
    <w:rsid w:val="5CA644DC"/>
    <w:rsid w:val="5CBA7F88"/>
    <w:rsid w:val="5CF76AE6"/>
    <w:rsid w:val="5D2E002E"/>
    <w:rsid w:val="5E2F0044"/>
    <w:rsid w:val="5EC91604"/>
    <w:rsid w:val="5EE906B0"/>
    <w:rsid w:val="5F423FD1"/>
    <w:rsid w:val="6155202D"/>
    <w:rsid w:val="63EDCF55"/>
    <w:rsid w:val="63FBFBCF"/>
    <w:rsid w:val="64411153"/>
    <w:rsid w:val="669360FD"/>
    <w:rsid w:val="679D472E"/>
    <w:rsid w:val="67F72037"/>
    <w:rsid w:val="6821710D"/>
    <w:rsid w:val="68FF6A83"/>
    <w:rsid w:val="69B641AD"/>
    <w:rsid w:val="6AD37EE9"/>
    <w:rsid w:val="6CF45426"/>
    <w:rsid w:val="6FB46AB9"/>
    <w:rsid w:val="6FBBC9CF"/>
    <w:rsid w:val="719170B1"/>
    <w:rsid w:val="71B132B0"/>
    <w:rsid w:val="71DE1BCB"/>
    <w:rsid w:val="71FA327C"/>
    <w:rsid w:val="728E539F"/>
    <w:rsid w:val="72BDE561"/>
    <w:rsid w:val="73F6CA3C"/>
    <w:rsid w:val="77A85155"/>
    <w:rsid w:val="77E636B7"/>
    <w:rsid w:val="78462278"/>
    <w:rsid w:val="7997EA6C"/>
    <w:rsid w:val="79F06E8E"/>
    <w:rsid w:val="7AD70DE5"/>
    <w:rsid w:val="7AEAE675"/>
    <w:rsid w:val="7B9D48A5"/>
    <w:rsid w:val="7BAFCE5D"/>
    <w:rsid w:val="7BBD13F2"/>
    <w:rsid w:val="7C417926"/>
    <w:rsid w:val="7CF24A8A"/>
    <w:rsid w:val="7D46598C"/>
    <w:rsid w:val="7DFB240B"/>
    <w:rsid w:val="7E0935ED"/>
    <w:rsid w:val="7ED564CF"/>
    <w:rsid w:val="7FCF2AF7"/>
    <w:rsid w:val="9FEF033D"/>
    <w:rsid w:val="9FFFD4CB"/>
    <w:rsid w:val="A27FF1E5"/>
    <w:rsid w:val="ADFF4675"/>
    <w:rsid w:val="AFDEB5A7"/>
    <w:rsid w:val="AFEA7FBF"/>
    <w:rsid w:val="B83F4767"/>
    <w:rsid w:val="BF930F07"/>
    <w:rsid w:val="BFCE8436"/>
    <w:rsid w:val="C3F7EB7A"/>
    <w:rsid w:val="CFF5FEEC"/>
    <w:rsid w:val="D3DD9064"/>
    <w:rsid w:val="D6F76A0C"/>
    <w:rsid w:val="D7ECE8D2"/>
    <w:rsid w:val="DFDD4FB5"/>
    <w:rsid w:val="E7F748B5"/>
    <w:rsid w:val="EBFB75CD"/>
    <w:rsid w:val="EE5F3713"/>
    <w:rsid w:val="EFC9D62C"/>
    <w:rsid w:val="F6BE9755"/>
    <w:rsid w:val="F6FFA89B"/>
    <w:rsid w:val="FAE4EFE1"/>
    <w:rsid w:val="FB9B6F12"/>
    <w:rsid w:val="FBB66A4A"/>
    <w:rsid w:val="FBD7EF87"/>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4">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Salutation"/>
    <w:basedOn w:val="1"/>
    <w:next w:val="1"/>
    <w:qFormat/>
    <w:uiPriority w:val="0"/>
  </w:style>
  <w:style w:type="paragraph" w:styleId="6">
    <w:name w:val="Body Text"/>
    <w:basedOn w:val="1"/>
    <w:qFormat/>
    <w:uiPriority w:val="0"/>
    <w:pPr>
      <w:spacing w:before="0"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iPriority w:val="0"/>
  </w:style>
  <w:style w:type="paragraph" w:styleId="10">
    <w:name w:val="List"/>
    <w:basedOn w:val="6"/>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rPr>
      <w:sz w:val="24"/>
    </w:rPr>
  </w:style>
  <w:style w:type="character" w:customStyle="1" w:styleId="15">
    <w:name w:val="默认段落字体1"/>
    <w:qFormat/>
    <w:uiPriority w:val="0"/>
  </w:style>
  <w:style w:type="paragraph" w:customStyle="1" w:styleId="16">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qFormat/>
    <w:uiPriority w:val="0"/>
    <w:pPr>
      <w:widowControl w:val="0"/>
      <w:suppressLineNumbers/>
      <w:suppressAutoHyphens/>
    </w:pPr>
  </w:style>
  <w:style w:type="paragraph" w:customStyle="1" w:styleId="18">
    <w:name w:val="WPSOffice手动目录 1"/>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5026</Words>
  <Characters>5352</Characters>
  <TotalTime>1</TotalTime>
  <ScaleCrop>false</ScaleCrop>
  <LinksUpToDate>false</LinksUpToDate>
  <CharactersWithSpaces>5427</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dell</cp:lastModifiedBy>
  <dcterms:modified xsi:type="dcterms:W3CDTF">2024-03-03T16:02:32Z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