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suppressLineNumbers w:val="0"/>
        <w:shd w:val="clear" w:color="auto" w:fill="FFFFFF"/>
        <w:kinsoku/>
        <w:wordWrap/>
        <w:overflowPunct/>
        <w:topLinePunct w:val="0"/>
        <w:autoSpaceDE/>
        <w:autoSpaceDN/>
        <w:bidi w:val="0"/>
        <w:adjustRightInd/>
        <w:snapToGrid/>
        <w:spacing w:before="210" w:beforeAutospacing="0" w:after="210" w:afterAutospacing="0" w:line="576" w:lineRule="exact"/>
        <w:ind w:left="0" w:right="0" w:firstLine="640" w:firstLineChars="200"/>
        <w:jc w:val="both"/>
        <w:textAlignment w:val="auto"/>
        <w:rPr>
          <w:rFonts w:hint="eastAsia" w:ascii="仿宋_GB2312" w:hAnsi="仿宋_GB2312" w:eastAsia="仿宋_GB2312" w:cs="仿宋_GB2312"/>
          <w:i w:val="0"/>
          <w:caps w:val="0"/>
          <w:color w:val="000000"/>
          <w:spacing w:val="0"/>
          <w:sz w:val="32"/>
          <w:szCs w:val="32"/>
        </w:rPr>
      </w:pPr>
    </w:p>
    <w:p>
      <w:pPr>
        <w:pStyle w:val="8"/>
        <w:keepNext w:val="0"/>
        <w:keepLines w:val="0"/>
        <w:pageBreakBefore w:val="0"/>
        <w:widowControl/>
        <w:suppressLineNumbers w:val="0"/>
        <w:shd w:val="clear" w:color="auto" w:fill="FFFFFF"/>
        <w:kinsoku/>
        <w:wordWrap/>
        <w:overflowPunct/>
        <w:topLinePunct w:val="0"/>
        <w:autoSpaceDE/>
        <w:autoSpaceDN/>
        <w:bidi w:val="0"/>
        <w:adjustRightInd/>
        <w:snapToGrid/>
        <w:spacing w:before="210" w:beforeAutospacing="0" w:after="210" w:afterAutospacing="0" w:line="576" w:lineRule="exact"/>
        <w:ind w:left="0" w:right="0" w:firstLine="880" w:firstLineChars="200"/>
        <w:jc w:val="center"/>
        <w:textAlignment w:val="auto"/>
        <w:outlineLvl w:val="9"/>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pPr>
      <w:bookmarkStart w:id="0" w:name="_Toc7427"/>
      <w:bookmarkStart w:id="1" w:name="_Toc16875"/>
    </w:p>
    <w:p>
      <w:pPr>
        <w:pStyle w:val="8"/>
        <w:keepNext w:val="0"/>
        <w:keepLines w:val="0"/>
        <w:pageBreakBefore w:val="0"/>
        <w:widowControl/>
        <w:suppressLineNumbers w:val="0"/>
        <w:shd w:val="clear" w:color="auto" w:fill="FFFFFF"/>
        <w:kinsoku/>
        <w:wordWrap/>
        <w:overflowPunct/>
        <w:topLinePunct w:val="0"/>
        <w:autoSpaceDE/>
        <w:autoSpaceDN/>
        <w:bidi w:val="0"/>
        <w:adjustRightInd/>
        <w:snapToGrid/>
        <w:spacing w:before="210" w:beforeAutospacing="0" w:after="210" w:afterAutospacing="0" w:line="576" w:lineRule="exact"/>
        <w:ind w:left="0" w:right="0" w:firstLine="880" w:firstLineChars="200"/>
        <w:jc w:val="center"/>
        <w:textAlignment w:val="auto"/>
        <w:outlineLvl w:val="9"/>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pPr>
    </w:p>
    <w:p>
      <w:pPr>
        <w:pStyle w:val="8"/>
        <w:keepNext w:val="0"/>
        <w:keepLines w:val="0"/>
        <w:pageBreakBefore w:val="0"/>
        <w:widowControl/>
        <w:suppressLineNumbers w:val="0"/>
        <w:shd w:val="clear" w:color="auto" w:fill="FFFFFF"/>
        <w:kinsoku/>
        <w:wordWrap/>
        <w:overflowPunct/>
        <w:topLinePunct w:val="0"/>
        <w:autoSpaceDE/>
        <w:autoSpaceDN/>
        <w:bidi w:val="0"/>
        <w:adjustRightInd/>
        <w:snapToGrid/>
        <w:spacing w:before="210" w:beforeAutospacing="0" w:after="210" w:afterAutospacing="0" w:line="576" w:lineRule="exact"/>
        <w:ind w:left="0" w:right="0" w:firstLine="880" w:firstLineChars="200"/>
        <w:jc w:val="center"/>
        <w:textAlignment w:val="auto"/>
        <w:outlineLvl w:val="0"/>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pPr>
      <w:bookmarkStart w:id="2" w:name="_Toc1277110245"/>
      <w: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t>广元市住房和城乡建设局</w:t>
      </w:r>
      <w:bookmarkEnd w:id="0"/>
      <w:bookmarkEnd w:id="1"/>
      <w:bookmarkEnd w:id="2"/>
    </w:p>
    <w:p>
      <w:pPr>
        <w:pStyle w:val="8"/>
        <w:keepNext w:val="0"/>
        <w:keepLines w:val="0"/>
        <w:pageBreakBefore w:val="0"/>
        <w:widowControl/>
        <w:suppressLineNumbers w:val="0"/>
        <w:shd w:val="clear" w:color="auto" w:fill="FFFFFF"/>
        <w:kinsoku/>
        <w:wordWrap/>
        <w:overflowPunct/>
        <w:topLinePunct w:val="0"/>
        <w:autoSpaceDE/>
        <w:autoSpaceDN/>
        <w:bidi w:val="0"/>
        <w:adjustRightInd/>
        <w:snapToGrid/>
        <w:spacing w:before="210" w:beforeAutospacing="0" w:after="210" w:afterAutospacing="0" w:line="576" w:lineRule="exact"/>
        <w:ind w:left="0" w:right="0" w:firstLine="880" w:firstLineChars="200"/>
        <w:jc w:val="center"/>
        <w:textAlignment w:val="auto"/>
        <w:outlineLvl w:val="0"/>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pPr>
      <w:bookmarkStart w:id="3" w:name="_Toc541071309"/>
      <w: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t>2024年部门预算编制说明</w:t>
      </w:r>
      <w:bookmarkEnd w:id="3"/>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suppressAutoHyphens/>
        <w:bidi w:val="0"/>
        <w:spacing w:before="0" w:beforeLines="0" w:after="0" w:afterLines="0" w:line="240" w:lineRule="auto"/>
        <w:ind w:left="0" w:leftChars="0" w:right="0" w:rightChars="0" w:firstLine="0" w:firstLineChars="0"/>
        <w:jc w:val="center"/>
        <w:rPr>
          <w:rFonts w:ascii="宋体" w:hAnsi="宋体" w:eastAsia="宋体"/>
          <w:color w:val="auto"/>
          <w:sz w:val="32"/>
          <w:szCs w:val="40"/>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10"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sectPr>
          <w:pgSz w:w="11906" w:h="16838"/>
          <w:pgMar w:top="2098" w:right="1474" w:bottom="1984" w:left="1587" w:header="720" w:footer="1559" w:gutter="0"/>
          <w:pgNumType w:fmt="decimal"/>
          <w:cols w:space="720" w:num="1"/>
          <w:docGrid w:type="lines" w:linePitch="312" w:charSpace="0"/>
        </w:sect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10"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sdt>
      <w:sdtPr>
        <w:rPr>
          <w:rFonts w:ascii="宋体" w:hAnsi="宋体" w:eastAsia="宋体" w:cs="Times New Roman"/>
          <w:color w:val="auto"/>
          <w:kern w:val="2"/>
          <w:sz w:val="21"/>
          <w:szCs w:val="24"/>
          <w:lang w:val="en-US" w:eastAsia="zh-CN" w:bidi="ar-SA"/>
        </w:rPr>
        <w:id w:val="999503921"/>
        <w15:color w:val="DBDBDB"/>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6"/>
            <w:tabs>
              <w:tab w:val="right" w:leader="dot" w:pos="8845"/>
            </w:tabs>
            <w:spacing w:line="360" w:lineRule="auto"/>
            <w:rPr>
              <w:b/>
            </w:rPr>
          </w:pP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instrText xml:space="preserve">TOC \o "1-2" \h \u </w:instrText>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fldChar w:fldCharType="separate"/>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_Toc2107944370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一、基本职能及主要工作</w:t>
          </w:r>
          <w:r>
            <w:rPr>
              <w:b/>
            </w:rPr>
            <w:tab/>
          </w:r>
          <w:r>
            <w:rPr>
              <w:b/>
            </w:rPr>
            <w:fldChar w:fldCharType="begin"/>
          </w:r>
          <w:r>
            <w:rPr>
              <w:b/>
            </w:rPr>
            <w:instrText xml:space="preserve"> PAGEREF _Toc2107944370 \h </w:instrText>
          </w:r>
          <w:r>
            <w:rPr>
              <w:b/>
            </w:rPr>
            <w:fldChar w:fldCharType="separate"/>
          </w:r>
          <w:r>
            <w:rPr>
              <w:b/>
            </w:rPr>
            <w:t>1</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_Toc395420234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rPr>
            <w:t>（一）市住房城乡建设局职能简介</w:t>
          </w:r>
          <w:r>
            <w:tab/>
          </w:r>
          <w:r>
            <w:fldChar w:fldCharType="begin"/>
          </w:r>
          <w:r>
            <w:instrText xml:space="preserve"> PAGEREF _Toc395420234 \h </w:instrText>
          </w:r>
          <w:r>
            <w:fldChar w:fldCharType="separate"/>
          </w:r>
          <w:r>
            <w:t>1</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_Toc720883954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rPr>
            <w:t>（二）市住房城乡建设局</w:t>
          </w:r>
          <w:r>
            <w:rPr>
              <w:rFonts w:hint="eastAsia" w:ascii="楷体_GB2312" w:hAnsi="楷体_GB2312" w:eastAsia="楷体_GB2312" w:cs="楷体_GB2312"/>
              <w:szCs w:val="32"/>
              <w:lang w:val="en-US"/>
            </w:rPr>
            <w:t>2024</w:t>
          </w:r>
          <w:r>
            <w:rPr>
              <w:rFonts w:hint="eastAsia" w:ascii="楷体_GB2312" w:hAnsi="楷体_GB2312" w:eastAsia="楷体_GB2312" w:cs="楷体_GB2312"/>
              <w:szCs w:val="32"/>
            </w:rPr>
            <w:t>年重点工作</w:t>
          </w:r>
          <w:r>
            <w:tab/>
          </w:r>
          <w:r>
            <w:fldChar w:fldCharType="begin"/>
          </w:r>
          <w:r>
            <w:instrText xml:space="preserve"> PAGEREF _Toc720883954 \h </w:instrText>
          </w:r>
          <w:r>
            <w:fldChar w:fldCharType="separate"/>
          </w:r>
          <w:r>
            <w:t>2</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_Toc683212070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二、部门预算单位构成</w:t>
          </w:r>
          <w:r>
            <w:rPr>
              <w:b/>
            </w:rPr>
            <w:tab/>
          </w:r>
          <w:r>
            <w:rPr>
              <w:b/>
            </w:rPr>
            <w:fldChar w:fldCharType="begin"/>
          </w:r>
          <w:r>
            <w:rPr>
              <w:b/>
            </w:rPr>
            <w:instrText xml:space="preserve"> PAGEREF _Toc683212070 \h </w:instrText>
          </w:r>
          <w:r>
            <w:rPr>
              <w:b/>
            </w:rPr>
            <w:fldChar w:fldCharType="separate"/>
          </w:r>
          <w:r>
            <w:rPr>
              <w:b/>
            </w:rPr>
            <w:t>2</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_Toc1500440399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三、收支预算情况说明</w:t>
          </w:r>
          <w:r>
            <w:rPr>
              <w:b/>
            </w:rPr>
            <w:tab/>
          </w:r>
          <w:r>
            <w:rPr>
              <w:b/>
            </w:rPr>
            <w:fldChar w:fldCharType="begin"/>
          </w:r>
          <w:r>
            <w:rPr>
              <w:b/>
            </w:rPr>
            <w:instrText xml:space="preserve"> PAGEREF _Toc1500440399 \h </w:instrText>
          </w:r>
          <w:r>
            <w:rPr>
              <w:b/>
            </w:rPr>
            <w:fldChar w:fldCharType="separate"/>
          </w:r>
          <w:r>
            <w:rPr>
              <w:b/>
            </w:rPr>
            <w:t>3</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_Toc1937243932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_Toc1937243932 \h </w:instrText>
          </w:r>
          <w:r>
            <w:fldChar w:fldCharType="separate"/>
          </w:r>
          <w:r>
            <w:t>4</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_Toc1738214816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_Toc1738214816 \h </w:instrText>
          </w:r>
          <w:r>
            <w:fldChar w:fldCharType="separate"/>
          </w:r>
          <w:r>
            <w:t>4</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_Toc10024930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四、财政拨款收支预算情况说明</w:t>
          </w:r>
          <w:r>
            <w:rPr>
              <w:b/>
            </w:rPr>
            <w:tab/>
          </w:r>
          <w:r>
            <w:rPr>
              <w:b/>
            </w:rPr>
            <w:fldChar w:fldCharType="begin"/>
          </w:r>
          <w:r>
            <w:rPr>
              <w:b/>
            </w:rPr>
            <w:instrText xml:space="preserve"> PAGEREF _Toc10024930 \h </w:instrText>
          </w:r>
          <w:r>
            <w:rPr>
              <w:b/>
            </w:rPr>
            <w:fldChar w:fldCharType="separate"/>
          </w:r>
          <w:r>
            <w:rPr>
              <w:b/>
            </w:rPr>
            <w:t>4</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_Toc1732876555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五、一般公共预算当年拨款情况说明</w:t>
          </w:r>
          <w:r>
            <w:rPr>
              <w:b/>
            </w:rPr>
            <w:tab/>
          </w:r>
          <w:r>
            <w:rPr>
              <w:b/>
            </w:rPr>
            <w:fldChar w:fldCharType="begin"/>
          </w:r>
          <w:r>
            <w:rPr>
              <w:b/>
            </w:rPr>
            <w:instrText xml:space="preserve"> PAGEREF _Toc1732876555 \h </w:instrText>
          </w:r>
          <w:r>
            <w:rPr>
              <w:b/>
            </w:rPr>
            <w:fldChar w:fldCharType="separate"/>
          </w:r>
          <w:r>
            <w:rPr>
              <w:b/>
            </w:rPr>
            <w:t>4</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_Toc294894222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_Toc294894222 \h </w:instrText>
          </w:r>
          <w:r>
            <w:fldChar w:fldCharType="separate"/>
          </w:r>
          <w:r>
            <w:t>5</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_Toc611080880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_Toc611080880 \h </w:instrText>
          </w:r>
          <w:r>
            <w:fldChar w:fldCharType="separate"/>
          </w:r>
          <w:r>
            <w:t>5</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_Toc1514889203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_Toc1514889203 \h </w:instrText>
          </w:r>
          <w:r>
            <w:fldChar w:fldCharType="separate"/>
          </w:r>
          <w:r>
            <w:t>5</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_Toc1605505210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六、一般公共预算基本支出情况说明</w:t>
          </w:r>
          <w:r>
            <w:rPr>
              <w:b/>
            </w:rPr>
            <w:tab/>
          </w:r>
          <w:r>
            <w:rPr>
              <w:b/>
            </w:rPr>
            <w:fldChar w:fldCharType="begin"/>
          </w:r>
          <w:r>
            <w:rPr>
              <w:b/>
            </w:rPr>
            <w:instrText xml:space="preserve"> PAGEREF _Toc1605505210 \h </w:instrText>
          </w:r>
          <w:r>
            <w:rPr>
              <w:b/>
            </w:rPr>
            <w:fldChar w:fldCharType="separate"/>
          </w:r>
          <w:r>
            <w:rPr>
              <w:b/>
            </w:rPr>
            <w:t>6</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_Toc97928676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七、“三公”经费财政拨款预算安排情况说明</w:t>
          </w:r>
          <w:r>
            <w:rPr>
              <w:b/>
            </w:rPr>
            <w:tab/>
          </w:r>
          <w:r>
            <w:rPr>
              <w:b/>
            </w:rPr>
            <w:fldChar w:fldCharType="begin"/>
          </w:r>
          <w:r>
            <w:rPr>
              <w:b/>
            </w:rPr>
            <w:instrText xml:space="preserve"> PAGEREF _Toc97928676 \h </w:instrText>
          </w:r>
          <w:r>
            <w:rPr>
              <w:b/>
            </w:rPr>
            <w:fldChar w:fldCharType="separate"/>
          </w:r>
          <w:r>
            <w:rPr>
              <w:b/>
            </w:rPr>
            <w:t>6</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_Toc1271226066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八、政府性基金预算支出情况说明</w:t>
          </w:r>
          <w:r>
            <w:rPr>
              <w:b/>
            </w:rPr>
            <w:tab/>
          </w:r>
          <w:r>
            <w:rPr>
              <w:b/>
            </w:rPr>
            <w:fldChar w:fldCharType="begin"/>
          </w:r>
          <w:r>
            <w:rPr>
              <w:b/>
            </w:rPr>
            <w:instrText xml:space="preserve"> PAGEREF _Toc1271226066 \h </w:instrText>
          </w:r>
          <w:r>
            <w:rPr>
              <w:b/>
            </w:rPr>
            <w:fldChar w:fldCharType="separate"/>
          </w:r>
          <w:r>
            <w:rPr>
              <w:b/>
            </w:rPr>
            <w:t>7</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_Toc1264431473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九、国有资本经营预算支出情况说明</w:t>
          </w:r>
          <w:r>
            <w:rPr>
              <w:b/>
            </w:rPr>
            <w:tab/>
          </w:r>
          <w:r>
            <w:rPr>
              <w:b/>
            </w:rPr>
            <w:fldChar w:fldCharType="begin"/>
          </w:r>
          <w:r>
            <w:rPr>
              <w:b/>
            </w:rPr>
            <w:instrText xml:space="preserve"> PAGEREF _Toc1264431473 \h </w:instrText>
          </w:r>
          <w:r>
            <w:rPr>
              <w:b/>
            </w:rPr>
            <w:fldChar w:fldCharType="separate"/>
          </w:r>
          <w:r>
            <w:rPr>
              <w:b/>
            </w:rPr>
            <w:t>7</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_Toc42399540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十、其他重要事项的情况说明</w:t>
          </w:r>
          <w:r>
            <w:rPr>
              <w:b/>
            </w:rPr>
            <w:tab/>
          </w:r>
          <w:r>
            <w:rPr>
              <w:b/>
            </w:rPr>
            <w:fldChar w:fldCharType="begin"/>
          </w:r>
          <w:r>
            <w:rPr>
              <w:b/>
            </w:rPr>
            <w:instrText xml:space="preserve"> PAGEREF _Toc42399540 \h </w:instrText>
          </w:r>
          <w:r>
            <w:rPr>
              <w:b/>
            </w:rPr>
            <w:fldChar w:fldCharType="separate"/>
          </w:r>
          <w:r>
            <w:rPr>
              <w:b/>
            </w:rPr>
            <w:t>7</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_Toc902251681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_Toc902251681 \h </w:instrText>
          </w:r>
          <w:r>
            <w:fldChar w:fldCharType="separate"/>
          </w:r>
          <w:r>
            <w:t>7</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_Toc1501000669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_Toc1501000669 \h </w:instrText>
          </w:r>
          <w:r>
            <w:fldChar w:fldCharType="separate"/>
          </w:r>
          <w:r>
            <w:t>8</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_Toc1599733342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_Toc1599733342 \h </w:instrText>
          </w:r>
          <w:r>
            <w:fldChar w:fldCharType="separate"/>
          </w:r>
          <w:r>
            <w:t>8</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7"/>
            <w:tabs>
              <w:tab w:val="right" w:leader="dot" w:pos="8845"/>
            </w:tabs>
            <w:spacing w:line="360" w:lineRule="auto"/>
          </w:pP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i w:val="0"/>
              <w:caps w:val="0"/>
              <w:spacing w:val="0"/>
              <w:kern w:val="0"/>
              <w:szCs w:val="28"/>
              <w:highlight w:val="none"/>
              <w:shd w:val="clear" w:color="auto" w:fill="FFFFFF"/>
              <w:lang w:val="en-US" w:eastAsia="zh-CN" w:bidi="ar"/>
            </w:rPr>
            <w:instrText xml:space="preserve"> HYPERLINK \l _Toc79443011 </w:instrText>
          </w:r>
          <w:r>
            <w:rPr>
              <w:rFonts w:hint="eastAsia" w:ascii="宋体" w:hAnsi="宋体" w:eastAsia="宋体" w:cs="宋体"/>
              <w:i w:val="0"/>
              <w:caps w:val="0"/>
              <w:spacing w:val="0"/>
              <w:kern w:val="0"/>
              <w:szCs w:val="28"/>
              <w:highlight w:val="none"/>
              <w:shd w:val="clear" w:color="auto" w:fill="FFFFFF"/>
              <w:lang w:val="en-US" w:eastAsia="zh-CN" w:bidi="ar"/>
            </w:rP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_Toc79443011 \h </w:instrText>
          </w:r>
          <w:r>
            <w:fldChar w:fldCharType="separate"/>
          </w:r>
          <w:r>
            <w:t>8</w:t>
          </w:r>
          <w:r>
            <w:fldChar w:fldCharType="end"/>
          </w:r>
          <w:r>
            <w:rPr>
              <w:rFonts w:hint="eastAsia" w:ascii="宋体" w:hAnsi="宋体" w:eastAsia="宋体" w:cs="宋体"/>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16"/>
            <w:tabs>
              <w:tab w:val="right" w:leader="dot" w:pos="8845"/>
            </w:tabs>
            <w:spacing w:line="360" w:lineRule="auto"/>
            <w:rPr>
              <w:b/>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begin"/>
          </w:r>
          <w:r>
            <w:rPr>
              <w:rFonts w:hint="eastAsia" w:ascii="宋体" w:hAnsi="宋体" w:eastAsia="宋体" w:cs="宋体"/>
              <w:b/>
              <w:i w:val="0"/>
              <w:caps w:val="0"/>
              <w:spacing w:val="0"/>
              <w:kern w:val="0"/>
              <w:szCs w:val="28"/>
              <w:highlight w:val="none"/>
              <w:shd w:val="clear" w:color="auto" w:fill="FFFFFF"/>
              <w:lang w:val="en-US" w:eastAsia="zh-CN" w:bidi="ar"/>
            </w:rPr>
            <w:instrText xml:space="preserve"> HYPERLINK \l _Toc723939007 </w:instrText>
          </w:r>
          <w:r>
            <w:rPr>
              <w:rFonts w:hint="eastAsia" w:ascii="宋体" w:hAnsi="宋体" w:eastAsia="宋体" w:cs="宋体"/>
              <w:b/>
              <w:i w:val="0"/>
              <w:caps w:val="0"/>
              <w:spacing w:val="0"/>
              <w:kern w:val="0"/>
              <w:szCs w:val="28"/>
              <w:highlight w:val="none"/>
              <w:shd w:val="clear" w:color="auto" w:fill="FFFFFF"/>
              <w:lang w:val="en-US" w:eastAsia="zh-CN" w:bidi="ar"/>
            </w:rPr>
            <w:fldChar w:fldCharType="separate"/>
          </w:r>
          <w:r>
            <w:rPr>
              <w:rFonts w:hint="eastAsia" w:ascii="黑体" w:hAnsi="黑体" w:eastAsia="黑体" w:cs="黑体"/>
              <w:b/>
              <w:szCs w:val="32"/>
              <w:lang w:val="en-US" w:eastAsia="zh-CN"/>
            </w:rPr>
            <w:t>十一、名词解释</w:t>
          </w:r>
          <w:r>
            <w:rPr>
              <w:b/>
            </w:rPr>
            <w:tab/>
          </w:r>
          <w:r>
            <w:rPr>
              <w:b/>
            </w:rPr>
            <w:fldChar w:fldCharType="begin"/>
          </w:r>
          <w:r>
            <w:rPr>
              <w:b/>
            </w:rPr>
            <w:instrText xml:space="preserve"> PAGEREF _Toc723939007 \h </w:instrText>
          </w:r>
          <w:r>
            <w:rPr>
              <w:b/>
            </w:rPr>
            <w:fldChar w:fldCharType="separate"/>
          </w:r>
          <w:r>
            <w:rPr>
              <w:b/>
            </w:rPr>
            <w:t>8</w:t>
          </w:r>
          <w:r>
            <w:rPr>
              <w:b/>
            </w:rPr>
            <w:fldChar w:fldCharType="end"/>
          </w: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360" w:lineRule="auto"/>
            <w:ind w:left="0" w:right="0" w:firstLine="481" w:firstLineChars="200"/>
            <w:jc w:val="both"/>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bidi="ar"/>
              <w14:textFill>
                <w14:solidFill>
                  <w14:schemeClr w14:val="tx1"/>
                </w14:solidFill>
              </w14:textFill>
            </w:rPr>
            <w:fldChar w:fldCharType="end"/>
          </w:r>
        </w:p>
      </w:sdtContent>
    </w:sdt>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481" w:firstLineChars="200"/>
        <w:jc w:val="both"/>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sectPr>
          <w:footerReference r:id="rId3" w:type="default"/>
          <w:pgSz w:w="11906" w:h="16838"/>
          <w:pgMar w:top="2098" w:right="1474" w:bottom="1984" w:left="1587" w:header="720" w:footer="1559" w:gutter="0"/>
          <w:pgNumType w:fmt="decimal" w:start="1"/>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2107944370"/>
      <w:r>
        <w:rPr>
          <w:rFonts w:hint="eastAsia" w:ascii="黑体" w:hAnsi="黑体" w:eastAsia="黑体" w:cs="黑体"/>
          <w:sz w:val="32"/>
          <w:szCs w:val="32"/>
          <w:lang w:val="en-US" w:eastAsia="zh-CN"/>
        </w:rPr>
        <w:t>一、基本职能及主要工作</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5" w:name="_Toc395420234"/>
      <w:r>
        <w:rPr>
          <w:rFonts w:hint="eastAsia" w:ascii="楷体_GB2312" w:hAnsi="楷体_GB2312" w:eastAsia="楷体_GB2312" w:cs="楷体_GB2312"/>
          <w:sz w:val="32"/>
          <w:szCs w:val="32"/>
        </w:rPr>
        <w:t>（一）市住房城乡建设局职能简介</w:t>
      </w:r>
      <w:bookmarkEnd w:id="5"/>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left"/>
        <w:textAlignment w:val="auto"/>
        <w:rPr>
          <w:rFonts w:hint="default" w:ascii="仿宋_GB2312" w:hAnsi="仿宋_GB2312" w:eastAsia="仿宋_GB2312" w:cs="仿宋_GB2312"/>
          <w:b w:val="0"/>
          <w:bCs/>
          <w:color w:val="000000"/>
          <w:kern w:val="0"/>
          <w:sz w:val="32"/>
          <w:szCs w:val="32"/>
          <w:u w:val="none"/>
          <w:lang w:val="en-US" w:eastAsia="zh-CN" w:bidi="ar-SA"/>
        </w:rPr>
      </w:pPr>
      <w:r>
        <w:rPr>
          <w:rFonts w:hint="eastAsia" w:ascii="仿宋_GB2312" w:hAnsi="仿宋_GB2312" w:eastAsia="仿宋_GB2312" w:cs="仿宋_GB2312"/>
          <w:b w:val="0"/>
          <w:bCs/>
          <w:color w:val="000000"/>
          <w:kern w:val="0"/>
          <w:sz w:val="32"/>
          <w:szCs w:val="32"/>
          <w:u w:val="none"/>
          <w:lang w:val="en-US" w:eastAsia="zh-CN" w:bidi="ar-SA"/>
        </w:rPr>
        <w:t>1.</w:t>
      </w:r>
      <w:r>
        <w:rPr>
          <w:rFonts w:hint="default" w:ascii="仿宋_GB2312" w:hAnsi="仿宋_GB2312" w:eastAsia="仿宋_GB2312" w:cs="仿宋_GB2312"/>
          <w:b w:val="0"/>
          <w:bCs/>
          <w:color w:val="000000"/>
          <w:kern w:val="0"/>
          <w:sz w:val="32"/>
          <w:szCs w:val="32"/>
          <w:u w:val="none"/>
          <w:lang w:val="en-US" w:eastAsia="zh-CN" w:bidi="ar-SA"/>
        </w:rPr>
        <w:t>贯彻执行国家住房和城乡建设的法律、法规和方针、政策。</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left"/>
        <w:textAlignment w:val="auto"/>
        <w:rPr>
          <w:rFonts w:hint="default" w:ascii="仿宋_GB2312" w:hAnsi="仿宋_GB2312" w:eastAsia="仿宋_GB2312" w:cs="仿宋_GB2312"/>
          <w:b w:val="0"/>
          <w:bCs/>
          <w:color w:val="000000"/>
          <w:kern w:val="0"/>
          <w:sz w:val="32"/>
          <w:szCs w:val="32"/>
          <w:u w:val="none"/>
          <w:lang w:val="en-US" w:eastAsia="zh-CN" w:bidi="ar-SA"/>
        </w:rPr>
      </w:pPr>
      <w:r>
        <w:rPr>
          <w:rFonts w:hint="eastAsia" w:ascii="仿宋_GB2312" w:hAnsi="仿宋_GB2312" w:eastAsia="仿宋_GB2312" w:cs="仿宋_GB2312"/>
          <w:b w:val="0"/>
          <w:bCs/>
          <w:color w:val="000000"/>
          <w:kern w:val="0"/>
          <w:sz w:val="32"/>
          <w:szCs w:val="32"/>
          <w:u w:val="none"/>
          <w:lang w:val="en-US" w:eastAsia="zh-CN" w:bidi="ar-SA"/>
        </w:rPr>
        <w:t>2.</w:t>
      </w:r>
      <w:r>
        <w:rPr>
          <w:rFonts w:hint="default" w:ascii="仿宋_GB2312" w:hAnsi="仿宋_GB2312" w:eastAsia="仿宋_GB2312" w:cs="仿宋_GB2312"/>
          <w:b w:val="0"/>
          <w:bCs/>
          <w:color w:val="000000"/>
          <w:kern w:val="0"/>
          <w:sz w:val="32"/>
          <w:szCs w:val="32"/>
          <w:u w:val="none"/>
          <w:lang w:val="en-US" w:eastAsia="zh-CN" w:bidi="ar-SA"/>
        </w:rPr>
        <w:t>负责城市道路、桥梁、燃气、城市防洪设施、城市供排水设施、城市照明设施的建设和运行维护管理工作。</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left"/>
        <w:textAlignment w:val="auto"/>
        <w:rPr>
          <w:rFonts w:hint="default" w:ascii="仿宋_GB2312" w:hAnsi="仿宋_GB2312" w:eastAsia="仿宋_GB2312" w:cs="仿宋_GB2312"/>
          <w:b w:val="0"/>
          <w:bCs/>
          <w:color w:val="000000"/>
          <w:kern w:val="0"/>
          <w:sz w:val="32"/>
          <w:szCs w:val="32"/>
          <w:u w:val="none"/>
          <w:lang w:val="en-US" w:eastAsia="zh-CN" w:bidi="ar-SA"/>
        </w:rPr>
      </w:pPr>
      <w:r>
        <w:rPr>
          <w:rFonts w:hint="eastAsia" w:ascii="仿宋_GB2312" w:hAnsi="仿宋_GB2312" w:eastAsia="仿宋_GB2312" w:cs="仿宋_GB2312"/>
          <w:b w:val="0"/>
          <w:bCs/>
          <w:color w:val="000000"/>
          <w:kern w:val="0"/>
          <w:sz w:val="32"/>
          <w:szCs w:val="32"/>
          <w:u w:val="none"/>
          <w:lang w:val="en-US" w:eastAsia="zh-CN" w:bidi="ar-SA"/>
        </w:rPr>
        <w:t>3.</w:t>
      </w:r>
      <w:r>
        <w:rPr>
          <w:rFonts w:hint="default" w:ascii="仿宋_GB2312" w:hAnsi="仿宋_GB2312" w:eastAsia="仿宋_GB2312" w:cs="仿宋_GB2312"/>
          <w:b w:val="0"/>
          <w:bCs/>
          <w:color w:val="000000"/>
          <w:kern w:val="0"/>
          <w:sz w:val="32"/>
          <w:szCs w:val="32"/>
          <w:u w:val="none"/>
          <w:lang w:val="en-US" w:eastAsia="zh-CN" w:bidi="ar-SA"/>
        </w:rPr>
        <w:t>负责全市建筑行业管理。</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left"/>
        <w:textAlignment w:val="auto"/>
        <w:rPr>
          <w:rFonts w:hint="default" w:ascii="仿宋_GB2312" w:hAnsi="仿宋_GB2312" w:eastAsia="仿宋_GB2312" w:cs="仿宋_GB2312"/>
          <w:b w:val="0"/>
          <w:bCs/>
          <w:color w:val="000000"/>
          <w:kern w:val="0"/>
          <w:sz w:val="32"/>
          <w:szCs w:val="32"/>
          <w:u w:val="none"/>
          <w:lang w:val="en-US" w:eastAsia="zh-CN" w:bidi="ar-SA"/>
        </w:rPr>
      </w:pPr>
      <w:r>
        <w:rPr>
          <w:rFonts w:hint="eastAsia" w:ascii="仿宋_GB2312" w:hAnsi="仿宋_GB2312" w:eastAsia="仿宋_GB2312" w:cs="仿宋_GB2312"/>
          <w:b w:val="0"/>
          <w:bCs/>
          <w:color w:val="000000"/>
          <w:kern w:val="0"/>
          <w:sz w:val="32"/>
          <w:szCs w:val="32"/>
          <w:u w:val="none"/>
          <w:lang w:val="en-US" w:eastAsia="zh-CN" w:bidi="ar-SA"/>
        </w:rPr>
        <w:t>4.</w:t>
      </w:r>
      <w:r>
        <w:rPr>
          <w:rFonts w:hint="default" w:ascii="仿宋_GB2312" w:hAnsi="仿宋_GB2312" w:eastAsia="仿宋_GB2312" w:cs="仿宋_GB2312"/>
          <w:b w:val="0"/>
          <w:bCs/>
          <w:color w:val="000000"/>
          <w:kern w:val="0"/>
          <w:sz w:val="32"/>
          <w:szCs w:val="32"/>
          <w:u w:val="none"/>
          <w:lang w:val="en-US" w:eastAsia="zh-CN" w:bidi="ar-SA"/>
        </w:rPr>
        <w:t>指导和管理全市镇(乡)和村的建设工作。</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left"/>
        <w:textAlignment w:val="auto"/>
        <w:rPr>
          <w:rFonts w:hint="default" w:ascii="仿宋_GB2312" w:hAnsi="仿宋_GB2312" w:eastAsia="仿宋_GB2312" w:cs="仿宋_GB2312"/>
          <w:b w:val="0"/>
          <w:bCs/>
          <w:color w:val="000000"/>
          <w:kern w:val="0"/>
          <w:sz w:val="32"/>
          <w:szCs w:val="32"/>
          <w:u w:val="none"/>
          <w:lang w:val="en-US" w:eastAsia="zh-CN" w:bidi="ar-SA"/>
        </w:rPr>
      </w:pPr>
      <w:r>
        <w:rPr>
          <w:rFonts w:hint="eastAsia" w:ascii="仿宋_GB2312" w:hAnsi="仿宋_GB2312" w:eastAsia="仿宋_GB2312" w:cs="仿宋_GB2312"/>
          <w:b w:val="0"/>
          <w:bCs/>
          <w:color w:val="000000"/>
          <w:kern w:val="0"/>
          <w:sz w:val="32"/>
          <w:szCs w:val="32"/>
          <w:u w:val="none"/>
          <w:lang w:val="en-US" w:eastAsia="zh-CN" w:bidi="ar-SA"/>
        </w:rPr>
        <w:t>5.</w:t>
      </w:r>
      <w:r>
        <w:rPr>
          <w:rFonts w:hint="default" w:ascii="仿宋_GB2312" w:hAnsi="仿宋_GB2312" w:eastAsia="仿宋_GB2312" w:cs="仿宋_GB2312"/>
          <w:b w:val="0"/>
          <w:bCs/>
          <w:color w:val="000000"/>
          <w:kern w:val="0"/>
          <w:sz w:val="32"/>
          <w:szCs w:val="32"/>
          <w:u w:val="none"/>
          <w:lang w:val="en-US" w:eastAsia="zh-CN" w:bidi="ar-SA"/>
        </w:rPr>
        <w:t>研究拟订全市住房制度改革、保障性住房、棚户区改造相关政策。</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left"/>
        <w:textAlignment w:val="auto"/>
        <w:rPr>
          <w:rFonts w:hint="default" w:ascii="仿宋_GB2312" w:hAnsi="仿宋_GB2312" w:eastAsia="仿宋_GB2312" w:cs="仿宋_GB2312"/>
          <w:b w:val="0"/>
          <w:bCs/>
          <w:color w:val="000000"/>
          <w:kern w:val="0"/>
          <w:sz w:val="32"/>
          <w:szCs w:val="32"/>
          <w:u w:val="none"/>
          <w:lang w:val="en-US" w:eastAsia="zh-CN" w:bidi="ar-SA"/>
        </w:rPr>
      </w:pPr>
      <w:r>
        <w:rPr>
          <w:rFonts w:hint="eastAsia" w:ascii="仿宋_GB2312" w:hAnsi="仿宋_GB2312" w:eastAsia="仿宋_GB2312" w:cs="仿宋_GB2312"/>
          <w:b w:val="0"/>
          <w:bCs/>
          <w:color w:val="000000"/>
          <w:kern w:val="0"/>
          <w:sz w:val="32"/>
          <w:szCs w:val="32"/>
          <w:u w:val="none"/>
          <w:lang w:val="en-US" w:eastAsia="zh-CN" w:bidi="ar-SA"/>
        </w:rPr>
        <w:t>6.</w:t>
      </w:r>
      <w:r>
        <w:rPr>
          <w:rFonts w:hint="default" w:ascii="仿宋_GB2312" w:hAnsi="仿宋_GB2312" w:eastAsia="仿宋_GB2312" w:cs="仿宋_GB2312"/>
          <w:b w:val="0"/>
          <w:bCs/>
          <w:color w:val="000000"/>
          <w:kern w:val="0"/>
          <w:sz w:val="32"/>
          <w:szCs w:val="32"/>
          <w:u w:val="none"/>
          <w:lang w:val="en-US" w:eastAsia="zh-CN" w:bidi="ar-SA"/>
        </w:rPr>
        <w:t>负责勘察设计市场和行业管理。</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left"/>
        <w:textAlignment w:val="auto"/>
        <w:rPr>
          <w:rFonts w:hint="default" w:ascii="仿宋_GB2312" w:hAnsi="仿宋_GB2312" w:eastAsia="仿宋_GB2312" w:cs="仿宋_GB2312"/>
          <w:b w:val="0"/>
          <w:bCs/>
          <w:color w:val="000000"/>
          <w:kern w:val="0"/>
          <w:sz w:val="32"/>
          <w:szCs w:val="32"/>
          <w:u w:val="none"/>
          <w:lang w:val="en-US" w:eastAsia="zh-CN" w:bidi="ar-SA"/>
        </w:rPr>
      </w:pPr>
      <w:r>
        <w:rPr>
          <w:rFonts w:hint="eastAsia" w:ascii="仿宋_GB2312" w:hAnsi="仿宋_GB2312" w:eastAsia="仿宋_GB2312" w:cs="仿宋_GB2312"/>
          <w:b w:val="0"/>
          <w:bCs/>
          <w:color w:val="000000"/>
          <w:kern w:val="0"/>
          <w:sz w:val="32"/>
          <w:szCs w:val="32"/>
          <w:u w:val="none"/>
          <w:lang w:val="en-US" w:eastAsia="zh-CN" w:bidi="ar-SA"/>
        </w:rPr>
        <w:t>7.</w:t>
      </w:r>
      <w:r>
        <w:rPr>
          <w:rFonts w:hint="default" w:ascii="仿宋_GB2312" w:hAnsi="仿宋_GB2312" w:eastAsia="仿宋_GB2312" w:cs="仿宋_GB2312"/>
          <w:b w:val="0"/>
          <w:bCs/>
          <w:color w:val="000000"/>
          <w:kern w:val="0"/>
          <w:sz w:val="32"/>
          <w:szCs w:val="32"/>
          <w:u w:val="none"/>
          <w:lang w:val="en-US" w:eastAsia="zh-CN" w:bidi="ar-SA"/>
        </w:rPr>
        <w:t>负责组织实施房屋建筑、园林绿化和市政工程建设实施阶段的国家和省标准、全国统一定额和行业标准定额。</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rightChars="0" w:firstLine="640" w:firstLineChars="200"/>
        <w:jc w:val="left"/>
        <w:textAlignment w:val="auto"/>
        <w:rPr>
          <w:rFonts w:hint="default" w:ascii="仿宋_GB2312" w:hAnsi="仿宋_GB2312" w:eastAsia="仿宋_GB2312" w:cs="仿宋_GB2312"/>
          <w:b w:val="0"/>
          <w:bCs/>
          <w:color w:val="000000"/>
          <w:kern w:val="0"/>
          <w:sz w:val="32"/>
          <w:szCs w:val="32"/>
          <w:u w:val="none"/>
          <w:lang w:val="en-US" w:eastAsia="zh-CN" w:bidi="ar-SA"/>
        </w:rPr>
      </w:pPr>
      <w:r>
        <w:rPr>
          <w:rFonts w:hint="eastAsia" w:ascii="仿宋_GB2312" w:hAnsi="仿宋_GB2312" w:eastAsia="仿宋_GB2312" w:cs="仿宋_GB2312"/>
          <w:b w:val="0"/>
          <w:bCs/>
          <w:color w:val="000000"/>
          <w:kern w:val="0"/>
          <w:sz w:val="32"/>
          <w:szCs w:val="32"/>
          <w:u w:val="none"/>
          <w:lang w:val="en-US" w:eastAsia="zh-CN" w:bidi="ar-SA"/>
        </w:rPr>
        <w:t>8.</w:t>
      </w:r>
      <w:r>
        <w:rPr>
          <w:rFonts w:hint="default" w:ascii="仿宋_GB2312" w:hAnsi="仿宋_GB2312" w:eastAsia="仿宋_GB2312" w:cs="仿宋_GB2312"/>
          <w:b w:val="0"/>
          <w:bCs/>
          <w:color w:val="000000"/>
          <w:kern w:val="0"/>
          <w:sz w:val="32"/>
          <w:szCs w:val="32"/>
          <w:u w:val="none"/>
          <w:lang w:val="en-US" w:eastAsia="zh-CN" w:bidi="ar-SA"/>
        </w:rPr>
        <w:t>研究编制行业项目年度建设计划并监督实施，参与行业各类规划编制工作；拟订行业发展战略、投融资政策；承担市政基础设施重点建设项目的前期工作和后期评价工作；指导行业招商引资和对外经济技术合作及各类资金争取工作；统筹行业统计及预测工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0" w:firstLineChars="200"/>
        <w:jc w:val="left"/>
        <w:textAlignment w:val="auto"/>
        <w:rPr>
          <w:rFonts w:hint="default" w:ascii="仿宋_GB2312" w:hAnsi="仿宋_GB2312" w:eastAsia="仿宋_GB2312" w:cs="仿宋_GB2312"/>
          <w:b w:val="0"/>
          <w:bCs/>
          <w:color w:val="000000"/>
          <w:kern w:val="0"/>
          <w:sz w:val="32"/>
          <w:szCs w:val="32"/>
          <w:u w:val="none"/>
          <w:lang w:val="en-US" w:eastAsia="zh-CN" w:bidi="ar-SA"/>
        </w:rPr>
      </w:pPr>
      <w:r>
        <w:rPr>
          <w:rFonts w:hint="eastAsia" w:ascii="仿宋_GB2312" w:hAnsi="仿宋_GB2312" w:eastAsia="仿宋_GB2312" w:cs="仿宋_GB2312"/>
          <w:b w:val="0"/>
          <w:bCs/>
          <w:color w:val="000000"/>
          <w:kern w:val="0"/>
          <w:sz w:val="32"/>
          <w:szCs w:val="32"/>
          <w:u w:val="none"/>
          <w:lang w:val="en-US" w:eastAsia="zh-CN" w:bidi="ar-SA"/>
        </w:rPr>
        <w:t>9.</w:t>
      </w:r>
      <w:r>
        <w:rPr>
          <w:rFonts w:hint="default" w:ascii="仿宋_GB2312" w:hAnsi="仿宋_GB2312" w:eastAsia="仿宋_GB2312" w:cs="仿宋_GB2312"/>
          <w:b w:val="0"/>
          <w:bCs/>
          <w:color w:val="000000"/>
          <w:kern w:val="0"/>
          <w:sz w:val="32"/>
          <w:szCs w:val="32"/>
          <w:u w:val="none"/>
          <w:lang w:val="en-US" w:eastAsia="zh-CN" w:bidi="ar-SA"/>
        </w:rPr>
        <w:t>负责研究拟订全市房屋建筑、园林绿化和市政工程施工质量、安全生产、扬尘防治、建设工程监理、工程质量检测和鉴定行业的政策法规和规章制度并指导实施和监督执行。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0" w:firstLineChars="200"/>
        <w:jc w:val="left"/>
        <w:textAlignment w:val="auto"/>
        <w:rPr>
          <w:rFonts w:hint="default" w:ascii="仿宋_GB2312" w:hAnsi="仿宋_GB2312" w:eastAsia="仿宋_GB2312" w:cs="仿宋_GB2312"/>
          <w:b w:val="0"/>
          <w:bCs/>
          <w:color w:val="000000"/>
          <w:kern w:val="0"/>
          <w:sz w:val="32"/>
          <w:szCs w:val="32"/>
          <w:u w:val="none"/>
          <w:lang w:val="en-US" w:eastAsia="zh-CN" w:bidi="ar-SA"/>
        </w:rPr>
      </w:pPr>
      <w:r>
        <w:rPr>
          <w:rFonts w:hint="eastAsia" w:ascii="仿宋_GB2312" w:hAnsi="仿宋_GB2312" w:eastAsia="仿宋_GB2312" w:cs="仿宋_GB2312"/>
          <w:b w:val="0"/>
          <w:bCs/>
          <w:color w:val="000000"/>
          <w:kern w:val="0"/>
          <w:sz w:val="32"/>
          <w:szCs w:val="32"/>
          <w:u w:val="none"/>
          <w:lang w:val="en-US" w:eastAsia="zh-CN" w:bidi="ar-SA"/>
        </w:rPr>
        <w:t>10.</w:t>
      </w:r>
      <w:r>
        <w:rPr>
          <w:rFonts w:hint="default" w:ascii="仿宋_GB2312" w:hAnsi="仿宋_GB2312" w:eastAsia="仿宋_GB2312" w:cs="仿宋_GB2312"/>
          <w:b w:val="0"/>
          <w:bCs/>
          <w:color w:val="000000"/>
          <w:kern w:val="0"/>
          <w:sz w:val="32"/>
          <w:szCs w:val="32"/>
          <w:u w:val="none"/>
          <w:lang w:val="en-US" w:eastAsia="zh-CN" w:bidi="ar-SA"/>
        </w:rPr>
        <w:t>负责全市城乡园林绿化工作。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0" w:firstLineChars="200"/>
        <w:jc w:val="left"/>
        <w:textAlignment w:val="auto"/>
        <w:rPr>
          <w:rFonts w:hint="default" w:ascii="仿宋_GB2312" w:hAnsi="仿宋_GB2312" w:eastAsia="仿宋_GB2312" w:cs="仿宋_GB2312"/>
          <w:b w:val="0"/>
          <w:bCs/>
          <w:color w:val="000000"/>
          <w:kern w:val="0"/>
          <w:sz w:val="32"/>
          <w:szCs w:val="32"/>
          <w:u w:val="none"/>
          <w:lang w:val="en-US" w:eastAsia="zh-CN" w:bidi="ar-SA"/>
        </w:rPr>
      </w:pPr>
      <w:r>
        <w:rPr>
          <w:rFonts w:hint="eastAsia" w:ascii="仿宋_GB2312" w:hAnsi="仿宋_GB2312" w:eastAsia="仿宋_GB2312" w:cs="仿宋_GB2312"/>
          <w:b w:val="0"/>
          <w:bCs/>
          <w:color w:val="000000"/>
          <w:kern w:val="0"/>
          <w:sz w:val="32"/>
          <w:szCs w:val="32"/>
          <w:u w:val="none"/>
          <w:lang w:val="en-US" w:eastAsia="zh-CN" w:bidi="ar-SA"/>
        </w:rPr>
        <w:t>11.</w:t>
      </w:r>
      <w:r>
        <w:rPr>
          <w:rFonts w:hint="default" w:ascii="仿宋_GB2312" w:hAnsi="仿宋_GB2312" w:eastAsia="仿宋_GB2312" w:cs="仿宋_GB2312"/>
          <w:b w:val="0"/>
          <w:bCs/>
          <w:color w:val="000000"/>
          <w:kern w:val="0"/>
          <w:sz w:val="32"/>
          <w:szCs w:val="32"/>
          <w:u w:val="none"/>
          <w:lang w:val="en-US" w:eastAsia="zh-CN" w:bidi="ar-SA"/>
        </w:rPr>
        <w:t>组织指导公园城市建设和园林城市系列创建工作。</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0" w:firstLineChars="200"/>
        <w:jc w:val="left"/>
        <w:textAlignment w:val="auto"/>
        <w:rPr>
          <w:rFonts w:hint="default" w:ascii="仿宋_GB2312" w:hAnsi="仿宋_GB2312" w:eastAsia="仿宋_GB2312" w:cs="仿宋_GB2312"/>
          <w:b w:val="0"/>
          <w:bCs/>
          <w:color w:val="000000"/>
          <w:kern w:val="0"/>
          <w:sz w:val="32"/>
          <w:szCs w:val="32"/>
          <w:u w:val="none"/>
          <w:lang w:val="en-US" w:eastAsia="zh-CN" w:bidi="ar-SA"/>
        </w:rPr>
      </w:pPr>
      <w:r>
        <w:rPr>
          <w:rFonts w:hint="eastAsia" w:ascii="仿宋_GB2312" w:hAnsi="仿宋_GB2312" w:eastAsia="仿宋_GB2312" w:cs="仿宋_GB2312"/>
          <w:b w:val="0"/>
          <w:bCs/>
          <w:color w:val="000000"/>
          <w:kern w:val="0"/>
          <w:sz w:val="32"/>
          <w:szCs w:val="32"/>
          <w:u w:val="none"/>
          <w:lang w:val="en-US" w:eastAsia="zh-CN" w:bidi="ar-SA"/>
        </w:rPr>
        <w:t>12.</w:t>
      </w:r>
      <w:r>
        <w:rPr>
          <w:rFonts w:hint="default" w:ascii="仿宋_GB2312" w:hAnsi="仿宋_GB2312" w:eastAsia="仿宋_GB2312" w:cs="仿宋_GB2312"/>
          <w:b w:val="0"/>
          <w:bCs/>
          <w:color w:val="000000"/>
          <w:kern w:val="0"/>
          <w:sz w:val="32"/>
          <w:szCs w:val="32"/>
          <w:u w:val="none"/>
          <w:lang w:val="en-US" w:eastAsia="zh-CN" w:bidi="ar-SA"/>
        </w:rPr>
        <w:t>负责拟订有关行政审批规程细则。</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0" w:firstLineChars="200"/>
        <w:jc w:val="left"/>
        <w:textAlignment w:val="auto"/>
        <w:rPr>
          <w:rFonts w:hint="default" w:ascii="仿宋_GB2312" w:hAnsi="仿宋_GB2312" w:eastAsia="仿宋_GB2312" w:cs="仿宋_GB2312"/>
          <w:b w:val="0"/>
          <w:bCs/>
          <w:color w:val="000000"/>
          <w:kern w:val="0"/>
          <w:sz w:val="32"/>
          <w:szCs w:val="32"/>
          <w:u w:val="none"/>
          <w:lang w:val="en-US" w:eastAsia="zh-CN" w:bidi="ar-SA"/>
        </w:rPr>
      </w:pPr>
      <w:r>
        <w:rPr>
          <w:rFonts w:hint="eastAsia" w:ascii="仿宋_GB2312" w:hAnsi="仿宋_GB2312" w:eastAsia="仿宋_GB2312" w:cs="仿宋_GB2312"/>
          <w:b w:val="0"/>
          <w:bCs/>
          <w:color w:val="000000"/>
          <w:kern w:val="0"/>
          <w:sz w:val="32"/>
          <w:szCs w:val="32"/>
          <w:u w:val="none"/>
          <w:lang w:val="en-US" w:eastAsia="zh-CN" w:bidi="ar-SA"/>
        </w:rPr>
        <w:t>13.</w:t>
      </w:r>
      <w:r>
        <w:rPr>
          <w:rFonts w:hint="default" w:ascii="仿宋_GB2312" w:hAnsi="仿宋_GB2312" w:eastAsia="仿宋_GB2312" w:cs="仿宋_GB2312"/>
          <w:b w:val="0"/>
          <w:bCs/>
          <w:color w:val="000000"/>
          <w:kern w:val="0"/>
          <w:sz w:val="32"/>
          <w:szCs w:val="32"/>
          <w:u w:val="none"/>
          <w:lang w:val="en-US" w:eastAsia="zh-CN" w:bidi="ar-SA"/>
        </w:rPr>
        <w:t>承担市政府公布的有关行政审批事项。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right="0" w:firstLine="640" w:firstLineChars="200"/>
        <w:jc w:val="left"/>
        <w:textAlignment w:val="auto"/>
        <w:rPr>
          <w:rFonts w:hint="eastAsia" w:ascii="仿宋_GB2312" w:hAnsi="Times New Roman" w:eastAsia="仿宋_GB2312"/>
          <w:sz w:val="32"/>
          <w:szCs w:val="32"/>
        </w:rPr>
      </w:pPr>
      <w:r>
        <w:rPr>
          <w:rFonts w:hint="eastAsia" w:ascii="仿宋_GB2312" w:hAnsi="仿宋_GB2312" w:eastAsia="仿宋_GB2312" w:cs="仿宋_GB2312"/>
          <w:b w:val="0"/>
          <w:bCs/>
          <w:color w:val="000000"/>
          <w:kern w:val="0"/>
          <w:sz w:val="32"/>
          <w:szCs w:val="32"/>
          <w:u w:val="none"/>
          <w:lang w:val="en-US" w:eastAsia="zh-CN" w:bidi="ar-SA"/>
        </w:rPr>
        <w:t>14.</w:t>
      </w:r>
      <w:r>
        <w:rPr>
          <w:rFonts w:hint="default" w:ascii="仿宋_GB2312" w:hAnsi="仿宋_GB2312" w:eastAsia="仿宋_GB2312" w:cs="仿宋_GB2312"/>
          <w:b w:val="0"/>
          <w:bCs/>
          <w:color w:val="000000"/>
          <w:kern w:val="0"/>
          <w:sz w:val="32"/>
          <w:szCs w:val="32"/>
          <w:u w:val="none"/>
          <w:lang w:val="en-US" w:eastAsia="zh-CN" w:bidi="ar-SA"/>
        </w:rPr>
        <w:t>承办市政府交办的其他事项。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6" w:name="_Toc720883954"/>
      <w:r>
        <w:rPr>
          <w:rFonts w:hint="eastAsia" w:ascii="楷体_GB2312" w:hAnsi="楷体_GB2312" w:eastAsia="楷体_GB2312" w:cs="楷体_GB2312"/>
          <w:sz w:val="32"/>
          <w:szCs w:val="32"/>
        </w:rPr>
        <w:t>（二）市住房城乡建设局</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仿宋_GB2312" w:hAnsi="仿宋_GB2312" w:eastAsia="仿宋_GB2312" w:cs="仿宋_GB2312"/>
          <w:b w:val="0"/>
          <w:bCs w:val="0"/>
          <w:sz w:val="32"/>
          <w:szCs w:val="32"/>
          <w:lang w:val="en-US" w:eastAsia="zh-CN"/>
        </w:rPr>
        <w:t>2024年，是中华人民共和国成立75周年，是实施“十四五”规划的关键一年。全市住房和城乡建设工作的总体思路是:坚定以习近平新时代中国特色社会主义思想为指导，全面贯彻习近平总书记来川来广视察重要指示、关于城市工作重要论述及中央经济工作会精神，全面落实党的二十大，省委十二届四次，市委八届八次全会和中央、省委、市委经济工作会议决策部署，坚持稳中求进工作总基调，完整、准确、全面贯彻新发展理念，认真贯彻落实“1345”发展战略，以城乡融合发展为统揽，以城市能级提升为主线，以海绵城市示范市建设收官、上西老城片区城市更新、城市照明绿化提升和精修细补民生工程为重点，加快房地产业、建筑业转型发展，推进“好房子、好小区、好社区、好城区”建设，为加快推进川陕甘结合部现代化中心城市建设贡献住建力量。主要目标：全系统完成固定资产投资100亿元，市本级完成20亿元；完成房地产投资50亿元以上，销售商品房100万平米；实现建筑业产值290亿元、同比增长7%以上；全系统争取资金9亿元以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7" w:name="_Toc683212070"/>
      <w:r>
        <w:rPr>
          <w:rFonts w:hint="eastAsia" w:ascii="黑体" w:hAnsi="黑体" w:eastAsia="黑体" w:cs="黑体"/>
          <w:sz w:val="32"/>
          <w:szCs w:val="32"/>
          <w:lang w:val="en-US" w:eastAsia="zh-CN"/>
        </w:rPr>
        <w:t>二、部门预算单位构成</w:t>
      </w:r>
      <w:bookmarkEnd w:id="7"/>
    </w:p>
    <w:p>
      <w:pPr>
        <w:keepNext w:val="0"/>
        <w:keepLines w:val="0"/>
        <w:pageBreakBefore w:val="0"/>
        <w:widowControl/>
        <w:kinsoku/>
        <w:wordWrap/>
        <w:overflowPunct/>
        <w:topLinePunct w:val="0"/>
        <w:autoSpaceDE/>
        <w:autoSpaceDN/>
        <w:bidi w:val="0"/>
        <w:adjustRightInd/>
        <w:snapToGrid/>
        <w:spacing w:line="568" w:lineRule="exact"/>
        <w:ind w:firstLine="640" w:firstLineChars="200"/>
        <w:jc w:val="both"/>
        <w:textAlignment w:val="auto"/>
        <w:rPr>
          <w:rFonts w:hint="eastAsia" w:ascii="仿宋_GB2312" w:hAnsi="仿宋_GB2312" w:eastAsia="仿宋_GB2312" w:cs="仿宋_GB2312"/>
          <w:b w:val="0"/>
          <w:bCs/>
          <w:color w:val="000000"/>
          <w:kern w:val="2"/>
          <w:sz w:val="32"/>
          <w:szCs w:val="32"/>
          <w:u w:val="none"/>
          <w:lang w:val="en-US" w:eastAsia="zh-CN" w:bidi="ar-SA"/>
        </w:rPr>
      </w:pPr>
      <w:r>
        <w:rPr>
          <w:rFonts w:hint="eastAsia" w:ascii="仿宋_GB2312" w:hAnsi="仿宋_GB2312" w:eastAsia="仿宋_GB2312" w:cs="仿宋_GB2312"/>
          <w:b w:val="0"/>
          <w:bCs/>
          <w:color w:val="000000"/>
          <w:kern w:val="2"/>
          <w:sz w:val="32"/>
          <w:szCs w:val="32"/>
          <w:u w:val="none"/>
          <w:lang w:val="en-US" w:eastAsia="zh-CN" w:bidi="ar-SA"/>
        </w:rPr>
        <w:t>市住房城乡建设局机关内设17个科室，分别是办公室、政策法规科、城市建设科、建筑管理科、村镇建设科、住房保障和房地产管理科、勘察设计与科学技术科、招投标与定额管理科、项目管理科、工程质量安全监管科、城市更新科、景观园林科、行政审批科、财务科、人事科、监察审计科、机关党委办公室。</w:t>
      </w:r>
    </w:p>
    <w:p>
      <w:pPr>
        <w:pStyle w:val="2"/>
        <w:spacing w:before="0" w:after="0" w:line="576" w:lineRule="exact"/>
        <w:ind w:firstLine="640" w:firstLineChars="200"/>
        <w:rPr>
          <w:rFonts w:hint="eastAsia" w:ascii="仿宋_GB2312" w:hAnsi="仿宋_GB2312" w:eastAsia="仿宋_GB2312" w:cs="仿宋_GB2312"/>
          <w:b w:val="0"/>
          <w:bCs/>
          <w:color w:val="000000"/>
          <w:kern w:val="2"/>
          <w:sz w:val="32"/>
          <w:szCs w:val="32"/>
          <w:u w:val="none"/>
          <w:lang w:val="en-US" w:eastAsia="zh-CN" w:bidi="ar-SA"/>
        </w:rPr>
      </w:pPr>
      <w:bookmarkStart w:id="8" w:name="_Toc31576"/>
      <w:bookmarkStart w:id="9" w:name="_Toc1585061080"/>
      <w:r>
        <w:rPr>
          <w:rFonts w:hint="eastAsia" w:ascii="仿宋_GB2312" w:hAnsi="仿宋_GB2312" w:eastAsia="仿宋_GB2312" w:cs="仿宋_GB2312"/>
          <w:b w:val="0"/>
          <w:bCs/>
          <w:color w:val="000000"/>
          <w:kern w:val="2"/>
          <w:sz w:val="32"/>
          <w:szCs w:val="32"/>
          <w:u w:val="none"/>
          <w:lang w:val="en-US" w:eastAsia="zh-CN" w:bidi="ar-SA"/>
        </w:rPr>
        <w:t>纳入市住房城乡建设局本级2023年度单位预算编制范围的非独立预算单位8个，包括：</w:t>
      </w:r>
      <w:bookmarkEnd w:id="8"/>
      <w:bookmarkEnd w:id="9"/>
    </w:p>
    <w:p>
      <w:pPr>
        <w:widowControl/>
        <w:numPr>
          <w:ilvl w:val="0"/>
          <w:numId w:val="0"/>
        </w:numPr>
        <w:spacing w:line="576" w:lineRule="exact"/>
        <w:ind w:firstLine="640" w:firstLineChars="200"/>
        <w:jc w:val="left"/>
        <w:rPr>
          <w:rFonts w:hint="eastAsia" w:ascii="仿宋_GB2312" w:hAnsi="仿宋_GB2312" w:eastAsia="仿宋_GB2312" w:cs="仿宋_GB2312"/>
          <w:b w:val="0"/>
          <w:bCs/>
          <w:color w:val="000000"/>
          <w:kern w:val="2"/>
          <w:sz w:val="32"/>
          <w:szCs w:val="32"/>
          <w:u w:val="none"/>
          <w:lang w:val="en-US" w:eastAsia="zh-CN" w:bidi="ar-SA"/>
        </w:rPr>
      </w:pPr>
      <w:r>
        <w:rPr>
          <w:rFonts w:hint="eastAsia" w:ascii="仿宋_GB2312" w:hAnsi="仿宋_GB2312" w:eastAsia="仿宋_GB2312" w:cs="仿宋_GB2312"/>
          <w:b w:val="0"/>
          <w:bCs/>
          <w:color w:val="000000"/>
          <w:kern w:val="2"/>
          <w:sz w:val="32"/>
          <w:szCs w:val="32"/>
          <w:u w:val="none"/>
          <w:lang w:val="en-US" w:eastAsia="zh-CN" w:bidi="ar-SA"/>
        </w:rPr>
        <w:t>1.广元市散装水泥事务中心</w:t>
      </w:r>
    </w:p>
    <w:p>
      <w:pPr>
        <w:widowControl/>
        <w:numPr>
          <w:ilvl w:val="0"/>
          <w:numId w:val="0"/>
        </w:numPr>
        <w:spacing w:line="576" w:lineRule="exact"/>
        <w:ind w:firstLine="640" w:firstLineChars="200"/>
        <w:jc w:val="left"/>
        <w:rPr>
          <w:rFonts w:hint="eastAsia" w:ascii="仿宋_GB2312" w:hAnsi="仿宋_GB2312" w:eastAsia="仿宋_GB2312" w:cs="仿宋_GB2312"/>
          <w:b w:val="0"/>
          <w:bCs/>
          <w:color w:val="000000"/>
          <w:kern w:val="2"/>
          <w:sz w:val="32"/>
          <w:szCs w:val="32"/>
          <w:u w:val="none"/>
          <w:lang w:val="en-US" w:eastAsia="zh-CN" w:bidi="ar-SA"/>
        </w:rPr>
      </w:pPr>
      <w:r>
        <w:rPr>
          <w:rFonts w:hint="eastAsia" w:ascii="仿宋_GB2312" w:hAnsi="仿宋_GB2312" w:eastAsia="仿宋_GB2312" w:cs="仿宋_GB2312"/>
          <w:b w:val="0"/>
          <w:bCs/>
          <w:color w:val="000000"/>
          <w:kern w:val="2"/>
          <w:sz w:val="32"/>
          <w:szCs w:val="32"/>
          <w:u w:val="none"/>
          <w:lang w:val="en-US" w:eastAsia="zh-CN" w:bidi="ar-SA"/>
        </w:rPr>
        <w:t>2.广元市供排水事务中心</w:t>
      </w:r>
    </w:p>
    <w:p>
      <w:pPr>
        <w:widowControl/>
        <w:spacing w:line="576" w:lineRule="exact"/>
        <w:ind w:firstLine="640" w:firstLineChars="200"/>
        <w:jc w:val="left"/>
        <w:rPr>
          <w:rFonts w:hint="eastAsia" w:ascii="仿宋_GB2312" w:hAnsi="仿宋_GB2312" w:eastAsia="仿宋_GB2312" w:cs="仿宋_GB2312"/>
          <w:b w:val="0"/>
          <w:bCs/>
          <w:color w:val="000000"/>
          <w:kern w:val="2"/>
          <w:sz w:val="32"/>
          <w:szCs w:val="32"/>
          <w:u w:val="none"/>
          <w:lang w:val="en-US" w:eastAsia="zh-CN" w:bidi="ar-SA"/>
        </w:rPr>
      </w:pPr>
      <w:r>
        <w:rPr>
          <w:rFonts w:hint="eastAsia" w:ascii="仿宋_GB2312" w:hAnsi="仿宋_GB2312" w:eastAsia="仿宋_GB2312" w:cs="仿宋_GB2312"/>
          <w:b w:val="0"/>
          <w:bCs/>
          <w:color w:val="000000"/>
          <w:kern w:val="2"/>
          <w:sz w:val="32"/>
          <w:szCs w:val="32"/>
          <w:u w:val="none"/>
          <w:lang w:val="en-US" w:eastAsia="zh-CN" w:bidi="ar-SA"/>
        </w:rPr>
        <w:t>3.广元市建设行业安全生产事务中心</w:t>
      </w:r>
    </w:p>
    <w:p>
      <w:pPr>
        <w:widowControl/>
        <w:spacing w:line="576" w:lineRule="exact"/>
        <w:ind w:firstLine="640" w:firstLineChars="200"/>
        <w:jc w:val="left"/>
        <w:rPr>
          <w:rFonts w:hint="eastAsia" w:ascii="仿宋_GB2312" w:hAnsi="仿宋_GB2312" w:eastAsia="仿宋_GB2312" w:cs="仿宋_GB2312"/>
          <w:b w:val="0"/>
          <w:bCs/>
          <w:color w:val="000000"/>
          <w:kern w:val="2"/>
          <w:sz w:val="32"/>
          <w:szCs w:val="32"/>
          <w:u w:val="none"/>
          <w:lang w:val="en-US" w:eastAsia="zh-CN" w:bidi="ar-SA"/>
        </w:rPr>
      </w:pPr>
      <w:r>
        <w:rPr>
          <w:rFonts w:hint="eastAsia" w:ascii="仿宋_GB2312" w:hAnsi="仿宋_GB2312" w:eastAsia="仿宋_GB2312" w:cs="仿宋_GB2312"/>
          <w:b w:val="0"/>
          <w:bCs/>
          <w:color w:val="000000"/>
          <w:kern w:val="2"/>
          <w:sz w:val="32"/>
          <w:szCs w:val="32"/>
          <w:u w:val="none"/>
          <w:lang w:val="en-US" w:eastAsia="zh-CN" w:bidi="ar-SA"/>
        </w:rPr>
        <w:t>4.广元市建设工程造价与招投标事务中心</w:t>
      </w:r>
    </w:p>
    <w:p>
      <w:pPr>
        <w:widowControl/>
        <w:spacing w:line="576" w:lineRule="exact"/>
        <w:ind w:firstLine="640" w:firstLineChars="200"/>
        <w:jc w:val="left"/>
        <w:rPr>
          <w:rFonts w:hint="eastAsia" w:ascii="仿宋_GB2312" w:hAnsi="仿宋_GB2312" w:eastAsia="仿宋_GB2312" w:cs="仿宋_GB2312"/>
          <w:b w:val="0"/>
          <w:bCs/>
          <w:color w:val="000000"/>
          <w:kern w:val="2"/>
          <w:sz w:val="32"/>
          <w:szCs w:val="32"/>
          <w:u w:val="none"/>
          <w:lang w:val="en-US" w:eastAsia="zh-CN" w:bidi="ar-SA"/>
        </w:rPr>
      </w:pPr>
      <w:r>
        <w:rPr>
          <w:rFonts w:hint="eastAsia" w:ascii="仿宋_GB2312" w:hAnsi="仿宋_GB2312" w:eastAsia="仿宋_GB2312" w:cs="仿宋_GB2312"/>
          <w:b w:val="0"/>
          <w:bCs/>
          <w:color w:val="000000"/>
          <w:kern w:val="2"/>
          <w:sz w:val="32"/>
          <w:szCs w:val="32"/>
          <w:u w:val="none"/>
          <w:lang w:val="en-US" w:eastAsia="zh-CN" w:bidi="ar-SA"/>
        </w:rPr>
        <w:t>5.广元市住房和城乡建设宣传信息中心</w:t>
      </w:r>
    </w:p>
    <w:p>
      <w:pPr>
        <w:widowControl/>
        <w:spacing w:line="576" w:lineRule="exact"/>
        <w:ind w:firstLine="640" w:firstLineChars="200"/>
        <w:jc w:val="left"/>
        <w:rPr>
          <w:rFonts w:hint="eastAsia" w:ascii="仿宋_GB2312" w:hAnsi="仿宋_GB2312" w:eastAsia="仿宋_GB2312" w:cs="仿宋_GB2312"/>
          <w:b w:val="0"/>
          <w:bCs/>
          <w:color w:val="000000"/>
          <w:kern w:val="2"/>
          <w:sz w:val="32"/>
          <w:szCs w:val="32"/>
          <w:u w:val="none"/>
          <w:lang w:val="en-US" w:eastAsia="zh-CN" w:bidi="ar-SA"/>
        </w:rPr>
      </w:pPr>
      <w:r>
        <w:rPr>
          <w:rFonts w:hint="eastAsia" w:ascii="仿宋_GB2312" w:hAnsi="仿宋_GB2312" w:eastAsia="仿宋_GB2312" w:cs="仿宋_GB2312"/>
          <w:b w:val="0"/>
          <w:bCs/>
          <w:color w:val="000000"/>
          <w:kern w:val="2"/>
          <w:sz w:val="32"/>
          <w:szCs w:val="32"/>
          <w:u w:val="none"/>
          <w:lang w:val="en-US" w:eastAsia="zh-CN" w:bidi="ar-SA"/>
        </w:rPr>
        <w:t>6.广元市城乡建设档案馆</w:t>
      </w:r>
    </w:p>
    <w:p>
      <w:pPr>
        <w:widowControl/>
        <w:spacing w:line="576" w:lineRule="exact"/>
        <w:ind w:firstLine="640" w:firstLineChars="200"/>
        <w:jc w:val="left"/>
        <w:rPr>
          <w:rFonts w:hint="default" w:ascii="仿宋_GB2312" w:hAnsi="仿宋_GB2312" w:eastAsia="仿宋_GB2312" w:cs="仿宋_GB2312"/>
          <w:b w:val="0"/>
          <w:bCs/>
          <w:color w:val="000000"/>
          <w:kern w:val="2"/>
          <w:sz w:val="32"/>
          <w:szCs w:val="32"/>
          <w:u w:val="none"/>
          <w:lang w:val="en-US" w:eastAsia="zh-CN" w:bidi="ar-SA"/>
        </w:rPr>
      </w:pPr>
      <w:r>
        <w:rPr>
          <w:rFonts w:hint="eastAsia" w:ascii="仿宋_GB2312" w:hAnsi="仿宋_GB2312" w:eastAsia="仿宋_GB2312" w:cs="仿宋_GB2312"/>
          <w:b w:val="0"/>
          <w:bCs/>
          <w:color w:val="000000"/>
          <w:kern w:val="2"/>
          <w:sz w:val="32"/>
          <w:szCs w:val="32"/>
          <w:u w:val="none"/>
          <w:lang w:val="en-US" w:eastAsia="zh-CN" w:bidi="ar-SA"/>
        </w:rPr>
        <w:t>7.广元市建筑业发展事务中心</w:t>
      </w:r>
    </w:p>
    <w:p>
      <w:pPr>
        <w:widowControl/>
        <w:spacing w:line="576" w:lineRule="exact"/>
        <w:ind w:firstLine="640" w:firstLineChars="200"/>
        <w:jc w:val="left"/>
        <w:rPr>
          <w:rFonts w:hint="eastAsia" w:ascii="仿宋_GB2312" w:hAnsi="仿宋_GB2312" w:eastAsia="仿宋_GB2312" w:cs="仿宋_GB2312"/>
          <w:b w:val="0"/>
          <w:bCs/>
          <w:color w:val="000000"/>
          <w:kern w:val="2"/>
          <w:sz w:val="32"/>
          <w:szCs w:val="32"/>
          <w:u w:val="none"/>
          <w:lang w:val="en-US" w:eastAsia="zh-CN" w:bidi="ar-SA"/>
        </w:rPr>
      </w:pPr>
      <w:r>
        <w:rPr>
          <w:rFonts w:hint="eastAsia" w:ascii="仿宋_GB2312" w:hAnsi="仿宋_GB2312" w:eastAsia="仿宋_GB2312" w:cs="仿宋_GB2312"/>
          <w:b w:val="0"/>
          <w:bCs/>
          <w:color w:val="000000"/>
          <w:kern w:val="2"/>
          <w:sz w:val="32"/>
          <w:szCs w:val="32"/>
          <w:u w:val="none"/>
          <w:lang w:val="en-US" w:eastAsia="zh-CN" w:bidi="ar-SA"/>
        </w:rPr>
        <w:t>8.广元市建设工程质量安全站</w:t>
      </w:r>
    </w:p>
    <w:p>
      <w:pPr>
        <w:keepNext w:val="0"/>
        <w:keepLines w:val="0"/>
        <w:widowControl/>
        <w:suppressLineNumbers w:val="0"/>
        <w:ind w:firstLine="640" w:firstLineChars="200"/>
        <w:jc w:val="left"/>
      </w:pPr>
      <w:r>
        <w:rPr>
          <w:rFonts w:hint="eastAsia" w:ascii="仿宋_GB2312" w:hAnsi="仿宋_GB2312" w:eastAsia="仿宋_GB2312" w:cs="仿宋_GB2312"/>
          <w:b w:val="0"/>
          <w:bCs/>
          <w:color w:val="000000"/>
          <w:kern w:val="2"/>
          <w:sz w:val="32"/>
          <w:szCs w:val="32"/>
          <w:u w:val="none"/>
          <w:lang w:val="en-US" w:eastAsia="zh-CN" w:bidi="ar-SA"/>
        </w:rPr>
        <w:t>9.广元市</w:t>
      </w:r>
      <w:r>
        <w:rPr>
          <w:rFonts w:hint="default" w:ascii="仿宋_GB2312" w:hAnsi="仿宋_GB2312" w:eastAsia="仿宋_GB2312" w:cs="仿宋_GB2312"/>
          <w:b w:val="0"/>
          <w:bCs/>
          <w:color w:val="000000"/>
          <w:kern w:val="2"/>
          <w:sz w:val="32"/>
          <w:szCs w:val="32"/>
          <w:u w:val="none"/>
          <w:lang w:val="en-US" w:eastAsia="zh-CN" w:bidi="ar-SA"/>
        </w:rPr>
        <w:t>建设工程消防和勘察设计技术中心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0" w:name="_Toc1500440399"/>
      <w:r>
        <w:rPr>
          <w:rFonts w:hint="eastAsia" w:ascii="黑体" w:hAnsi="黑体" w:eastAsia="黑体" w:cs="黑体"/>
          <w:sz w:val="32"/>
          <w:szCs w:val="32"/>
          <w:lang w:val="en-US" w:eastAsia="zh-CN"/>
        </w:rPr>
        <w:t>三、收支预算情况说明</w:t>
      </w:r>
      <w:bookmarkEnd w:id="10"/>
    </w:p>
    <w:p>
      <w:pPr>
        <w:widowControl/>
        <w:spacing w:line="576"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市住房城乡建设局</w:t>
      </w:r>
      <w:r>
        <w:rPr>
          <w:rFonts w:hint="eastAsia" w:ascii="仿宋_GB2312" w:hAnsi="仿宋_GB2312" w:eastAsia="仿宋_GB2312" w:cs="仿宋_GB2312"/>
          <w:sz w:val="32"/>
          <w:szCs w:val="32"/>
          <w:lang w:val="en-US" w:eastAsia="zh-CN"/>
        </w:rPr>
        <w:t>所有收入和支出均纳入部门预算管理。收入包括：一般公共预算拨款收入；支出包括：</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社会保障和就业支出、卫生健康支出、城乡社区支出、住房保障支出。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市住房城乡建设局</w:t>
      </w:r>
      <w:r>
        <w:rPr>
          <w:rFonts w:hint="eastAsia" w:ascii="仿宋_GB2312" w:hAnsi="仿宋_GB2312" w:eastAsia="仿宋_GB2312" w:cs="仿宋_GB2312"/>
          <w:sz w:val="32"/>
          <w:szCs w:val="32"/>
          <w:lang w:val="en-US" w:eastAsia="zh-CN"/>
        </w:rPr>
        <w:t>2024年收支预算总数2634.64万元,比2023年收支预算总数增加609万元，主要原因一是2024年</w:t>
      </w:r>
      <w:r>
        <w:rPr>
          <w:rFonts w:hint="eastAsia" w:ascii="仿宋_GB2312" w:hAnsi="仿宋_GB2312" w:eastAsia="仿宋_GB2312" w:cs="仿宋_GB2312"/>
          <w:b w:val="0"/>
          <w:bCs/>
          <w:color w:val="000000"/>
          <w:kern w:val="2"/>
          <w:sz w:val="32"/>
          <w:szCs w:val="32"/>
          <w:u w:val="none"/>
          <w:lang w:val="en-US" w:eastAsia="zh-CN" w:bidi="ar-SA"/>
        </w:rPr>
        <w:t>广元市建设工程质量安全站财务纳入市住房和城乡建设局统管；</w:t>
      </w:r>
      <w:r>
        <w:rPr>
          <w:rFonts w:hint="eastAsia" w:ascii="仿宋_GB2312" w:hAnsi="仿宋_GB2312" w:eastAsia="仿宋_GB2312" w:cs="仿宋_GB2312"/>
          <w:sz w:val="32"/>
          <w:szCs w:val="32"/>
          <w:lang w:val="en-US" w:eastAsia="zh-CN"/>
        </w:rPr>
        <w:t>二是2024年在职人员年度考核绩效奖纳入年初部门预算；三是部门待下预算比如重点产业专班等项目平移至年初部门预算中所致。</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1937243932"/>
      <w:r>
        <w:rPr>
          <w:rFonts w:hint="eastAsia" w:ascii="楷体_GB2312" w:hAnsi="楷体_GB2312" w:eastAsia="楷体_GB2312" w:cs="楷体_GB2312"/>
          <w:sz w:val="32"/>
          <w:szCs w:val="32"/>
          <w:lang w:val="en-US" w:eastAsia="zh-CN"/>
        </w:rPr>
        <w:t>（一）收入预算情况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市住房城乡建设局</w:t>
      </w:r>
      <w:r>
        <w:rPr>
          <w:rFonts w:hint="eastAsia" w:ascii="仿宋_GB2312" w:hAnsi="仿宋_GB2312" w:eastAsia="仿宋_GB2312" w:cs="仿宋_GB2312"/>
          <w:sz w:val="32"/>
          <w:szCs w:val="32"/>
          <w:lang w:val="en-US" w:eastAsia="zh-CN"/>
        </w:rPr>
        <w:t>2024年收入预算2634.64万元，其中：一般公共预算拨款收入2634.64万元，占100%。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1738214816"/>
      <w:r>
        <w:rPr>
          <w:rFonts w:hint="eastAsia" w:ascii="楷体_GB2312" w:hAnsi="楷体_GB2312" w:eastAsia="楷体_GB2312" w:cs="楷体_GB2312"/>
          <w:sz w:val="32"/>
          <w:szCs w:val="32"/>
          <w:lang w:val="en-US" w:eastAsia="zh-CN"/>
        </w:rPr>
        <w:t>（二）支出预算情况</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市住房城乡建设局</w:t>
      </w:r>
      <w:r>
        <w:rPr>
          <w:rFonts w:hint="eastAsia" w:ascii="仿宋_GB2312" w:hAnsi="仿宋_GB2312" w:eastAsia="仿宋_GB2312" w:cs="仿宋_GB2312"/>
          <w:sz w:val="32"/>
          <w:szCs w:val="32"/>
          <w:lang w:val="en-US" w:eastAsia="zh-CN"/>
        </w:rPr>
        <w:t>2024年支出预算2634.64万元，其中：基本支出2386.7万元，占90.59%；项目支出247.94万元，占9.41%</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0024930"/>
      <w:r>
        <w:rPr>
          <w:rFonts w:hint="eastAsia" w:ascii="黑体" w:hAnsi="黑体" w:eastAsia="黑体" w:cs="黑体"/>
          <w:sz w:val="32"/>
          <w:szCs w:val="32"/>
          <w:lang w:val="en-US" w:eastAsia="zh-CN"/>
        </w:rPr>
        <w:t>四、财政拨款收支预算情况说明</w:t>
      </w:r>
      <w:bookmarkEnd w:id="13"/>
    </w:p>
    <w:p>
      <w:pPr>
        <w:widowControl/>
        <w:spacing w:line="576" w:lineRule="exact"/>
        <w:ind w:firstLine="640" w:firstLineChars="200"/>
        <w:jc w:val="left"/>
        <w:rPr>
          <w:rFonts w:hint="eastAsia" w:ascii="仿宋_GB2312" w:hAnsi="仿宋_GB2312" w:eastAsia="仿宋_GB2312" w:cs="仿宋_GB2312"/>
          <w:b/>
          <w:bCs/>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市住房城乡建设局</w:t>
      </w:r>
      <w:r>
        <w:rPr>
          <w:rFonts w:hint="eastAsia" w:ascii="仿宋_GB2312" w:hAnsi="仿宋_GB2312" w:eastAsia="仿宋_GB2312" w:cs="仿宋_GB2312"/>
          <w:sz w:val="32"/>
          <w:szCs w:val="32"/>
          <w:lang w:val="en-US" w:eastAsia="zh-CN"/>
        </w:rPr>
        <w:t>2024年财政拨款收支预算总数2634.64万元,比2023年财政拨款收支预算总数增加609万元，主要原因一是2024年</w:t>
      </w:r>
      <w:r>
        <w:rPr>
          <w:rFonts w:hint="eastAsia" w:ascii="仿宋_GB2312" w:hAnsi="仿宋_GB2312" w:eastAsia="仿宋_GB2312" w:cs="仿宋_GB2312"/>
          <w:b w:val="0"/>
          <w:bCs/>
          <w:color w:val="000000"/>
          <w:kern w:val="2"/>
          <w:sz w:val="32"/>
          <w:szCs w:val="32"/>
          <w:u w:val="none"/>
          <w:lang w:val="en-US" w:eastAsia="zh-CN" w:bidi="ar-SA"/>
        </w:rPr>
        <w:t>广元市建设工程质量安全站财务纳入市住房和城乡建设局统管；</w:t>
      </w:r>
      <w:r>
        <w:rPr>
          <w:rFonts w:hint="eastAsia" w:ascii="仿宋_GB2312" w:hAnsi="仿宋_GB2312" w:eastAsia="仿宋_GB2312" w:cs="仿宋_GB2312"/>
          <w:sz w:val="32"/>
          <w:szCs w:val="32"/>
          <w:lang w:val="en-US" w:eastAsia="zh-CN"/>
        </w:rPr>
        <w:t>二是2024年在职人员年度考核绩效奖纳入年初部门预算；三是部门待下预算比如重点产业专班等项目平移至年初部门预算中所致。</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收入包括：本年一般公共预算拨款收入2634.64万元；支出包括：社会保障和就业支出208.63万元、卫生健康支出67.33万元、 城乡社区支出2182.37万元、住房保障支出176.31万元。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4" w:name="_Toc1732876555"/>
      <w:r>
        <w:rPr>
          <w:rFonts w:hint="eastAsia" w:ascii="黑体" w:hAnsi="黑体" w:eastAsia="黑体" w:cs="黑体"/>
          <w:sz w:val="32"/>
          <w:szCs w:val="32"/>
          <w:lang w:val="en-US" w:eastAsia="zh-CN"/>
        </w:rPr>
        <w:t>五、一般公共预算当年拨款情况说明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294894222"/>
      <w:r>
        <w:rPr>
          <w:rFonts w:hint="eastAsia" w:ascii="楷体_GB2312" w:hAnsi="楷体_GB2312" w:eastAsia="楷体_GB2312" w:cs="楷体_GB2312"/>
          <w:sz w:val="32"/>
          <w:szCs w:val="32"/>
          <w:lang w:val="en-US" w:eastAsia="zh-CN"/>
        </w:rPr>
        <w:t>（一）一般公共预算当年拨款规模变化情况</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市住房城乡建设局2024年一般公共预算当年拨款2634.64万元，比2023年预算数增加609万元，主要原因一是2024年</w:t>
      </w:r>
      <w:r>
        <w:rPr>
          <w:rFonts w:hint="eastAsia" w:ascii="仿宋_GB2312" w:hAnsi="仿宋_GB2312" w:eastAsia="仿宋_GB2312" w:cs="仿宋_GB2312"/>
          <w:b w:val="0"/>
          <w:bCs/>
          <w:color w:val="000000"/>
          <w:kern w:val="2"/>
          <w:sz w:val="32"/>
          <w:szCs w:val="32"/>
          <w:u w:val="none"/>
          <w:lang w:val="en-US" w:eastAsia="zh-CN" w:bidi="ar-SA"/>
        </w:rPr>
        <w:t>广元市建设工程质量安全站财务纳入市住房和城乡建设局统管；</w:t>
      </w:r>
      <w:r>
        <w:rPr>
          <w:rFonts w:hint="eastAsia" w:ascii="仿宋_GB2312" w:hAnsi="仿宋_GB2312" w:eastAsia="仿宋_GB2312" w:cs="仿宋_GB2312"/>
          <w:sz w:val="32"/>
          <w:szCs w:val="32"/>
          <w:lang w:val="en-US" w:eastAsia="zh-CN"/>
        </w:rPr>
        <w:t>二是2024年在职人员年度考核绩效奖纳入年初部门预算；三是部门待下预算比如重点产业专班等项目平移至年初部门预算中所致。</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611080880"/>
      <w:r>
        <w:rPr>
          <w:rFonts w:hint="eastAsia" w:ascii="楷体_GB2312" w:hAnsi="楷体_GB2312" w:eastAsia="楷体_GB2312" w:cs="楷体_GB2312"/>
          <w:sz w:val="32"/>
          <w:szCs w:val="32"/>
          <w:lang w:val="en-US" w:eastAsia="zh-CN"/>
        </w:rPr>
        <w:t>（二）一般公共预算当年拨款结构情况</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社会保障和就业支出208.63万元，占7.92%；卫生健康支出67.33万元，占2.56%；城乡社区支出2182.37万元，占82.83%；住房保障支出176.31万元，占6.69%。</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7" w:name="_Toc1514889203"/>
      <w:r>
        <w:rPr>
          <w:rFonts w:hint="eastAsia" w:ascii="楷体_GB2312" w:hAnsi="楷体_GB2312" w:eastAsia="楷体_GB2312" w:cs="楷体_GB2312"/>
          <w:sz w:val="32"/>
          <w:szCs w:val="32"/>
          <w:lang w:val="en-US" w:eastAsia="zh-CN"/>
        </w:rPr>
        <w:t>（三）一般公共预算当年拨款具体使用情况</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eastAsia="zh-CN"/>
        </w:rPr>
        <w:t>社会保障和就业（类）行政事业单位养老支出（款）机关事业单位基本养老保险缴费支出（项）2024年预算数为208.63万元，主要用于：实施养老保险制度由单位缴纳的基本养老保险支出。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2.卫生健康（类）行政事业单位医疗（款）行政单位医疗（项）2024年预算数为67.33万元，主要用于：机关及参公管理事业单位按规定由单位缴纳的基本医疗保险支出。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3.城乡社区（类）城乡社区管理事务支出（款）行政运行（项）2023年预算数为1291.32万元，主要用于：行政单位的基本支出。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4.城乡社区（类）城乡社区管理事务支出（款） 一般行政管理事务（项）2023年预算数为891.05万元，主要用于：行政单位未单独设置项级科目的其他项目支出。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color w:val="auto"/>
          <w:sz w:val="32"/>
          <w:szCs w:val="32"/>
          <w:lang w:val="en-US" w:eastAsia="zh-CN"/>
        </w:rPr>
        <w:t>5.住房保障（类）住房改革支出（款）住房公积金（项）2024年预算数为176.31万元，主要用于：</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8" w:name="_Toc1605505210"/>
      <w:r>
        <w:rPr>
          <w:rFonts w:hint="eastAsia" w:ascii="黑体" w:hAnsi="黑体" w:eastAsia="黑体" w:cs="黑体"/>
          <w:sz w:val="32"/>
          <w:szCs w:val="32"/>
          <w:lang w:val="en-US" w:eastAsia="zh-CN"/>
        </w:rPr>
        <w:t>六、一般公共预算基本支出情况说明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市住房城乡建设局2024年一般公共预算基本支出2386.7万元，其中：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人员经费2072.45万元，主要包括：基本工资、津贴补贴、奖金、绩效工资、社会保险缴费、住房公积金、生活补助等支出。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314.25万元，主要包括：办公费、印刷费、水费、电费、邮电费、物业管理费、差旅费、会议费、培训费、公务接待费、劳务费、工会经费、福利费、公务用车运行维护费、其他交通费用、其他商品服务支出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9" w:name="_Toc97928676"/>
      <w:r>
        <w:rPr>
          <w:rFonts w:hint="eastAsia" w:ascii="黑体" w:hAnsi="黑体" w:eastAsia="黑体" w:cs="黑体"/>
          <w:sz w:val="32"/>
          <w:szCs w:val="32"/>
          <w:lang w:val="en-US" w:eastAsia="zh-CN"/>
        </w:rPr>
        <w:t>七、“三公”经费财政拨款预算安排情况说明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市住房城乡建设局2024年“三公”经费财政拨款预算数4.37万元，其中：公务接待费1.31万元，公务用车购置及运行维护费3.06万元，未编列因公出国（境）经费。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单位现有公务用车2辆，其中：越野车1辆、轿车1辆。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2024年安排公务用车运行维护费3.06万元，用于公务用车燃油、过路（桥）、维修、保险等方面支出，主要保障机关及局属单位日常运行及业务开展。</w:t>
      </w:r>
      <w:bookmarkStart w:id="28" w:name="_GoBack"/>
      <w:bookmarkEnd w:id="28"/>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市住房城乡建设局202</w:t>
      </w:r>
      <w:r>
        <w:rPr>
          <w:rFonts w:hint="default" w:ascii="仿宋_GB2312" w:hAnsi="仿宋_GB2312" w:eastAsia="仿宋_GB2312" w:cs="仿宋_GB2312"/>
          <w:sz w:val="32"/>
          <w:szCs w:val="32"/>
          <w:lang w:eastAsia="zh-CN"/>
        </w:rPr>
        <w:t>4</w:t>
      </w:r>
      <w:r>
        <w:rPr>
          <w:rFonts w:hint="eastAsia" w:ascii="仿宋_GB2312" w:hAnsi="仿宋_GB2312" w:eastAsia="仿宋_GB2312" w:cs="仿宋_GB2312"/>
          <w:sz w:val="32"/>
          <w:szCs w:val="32"/>
          <w:lang w:val="en-US" w:eastAsia="zh-CN"/>
        </w:rPr>
        <w:t>年未编列因公出国（境）经费，与2023年预算相比持平。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0" w:name="_Toc1271226066"/>
      <w:r>
        <w:rPr>
          <w:rFonts w:hint="eastAsia" w:ascii="黑体" w:hAnsi="黑体" w:eastAsia="黑体" w:cs="黑体"/>
          <w:sz w:val="32"/>
          <w:szCs w:val="32"/>
          <w:lang w:val="en-US" w:eastAsia="zh-CN"/>
        </w:rPr>
        <w:t>八、政府性基金预算支出情况说明</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市住房城乡建设局2024年无政府性基金预算拨款安排的支出。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1" w:name="_Toc1264431473"/>
      <w:r>
        <w:rPr>
          <w:rFonts w:hint="eastAsia" w:ascii="黑体" w:hAnsi="黑体" w:eastAsia="黑体" w:cs="黑体"/>
          <w:sz w:val="32"/>
          <w:szCs w:val="32"/>
          <w:lang w:val="en-US" w:eastAsia="zh-CN"/>
        </w:rPr>
        <w:t>九、国有资本经营预算支出情况说明</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市住房城乡建设局2024年无国有资本经营预算拨款安排的支出。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2" w:name="_Toc42399540"/>
      <w:r>
        <w:rPr>
          <w:rFonts w:hint="eastAsia" w:ascii="黑体" w:hAnsi="黑体" w:eastAsia="黑体" w:cs="黑体"/>
          <w:sz w:val="32"/>
          <w:szCs w:val="32"/>
          <w:lang w:val="en-US" w:eastAsia="zh-CN"/>
        </w:rPr>
        <w:t>十、其他重要事项的情况说明</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902251681"/>
      <w:r>
        <w:rPr>
          <w:rFonts w:hint="eastAsia" w:ascii="楷体_GB2312" w:hAnsi="楷体_GB2312" w:eastAsia="楷体_GB2312" w:cs="楷体_GB2312"/>
          <w:sz w:val="32"/>
          <w:szCs w:val="32"/>
          <w:lang w:val="en-US" w:eastAsia="zh-CN"/>
        </w:rPr>
        <w:t>（一）机关运行经费</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2024年，市住房城乡建设局下属局机关1家行政单位的机关运行经费财政拨款预算为314.25万元，比2023年预算增加52.25万元，增长19.94%。主要原因2024年局机关财务统管</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人员增加。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1501000669"/>
      <w:r>
        <w:rPr>
          <w:rFonts w:hint="eastAsia" w:ascii="楷体_GB2312" w:hAnsi="楷体_GB2312" w:eastAsia="楷体_GB2312" w:cs="楷体_GB2312"/>
          <w:sz w:val="32"/>
          <w:szCs w:val="32"/>
          <w:lang w:val="en-US" w:eastAsia="zh-CN"/>
        </w:rPr>
        <w:t>（二）政府采购情况</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2024年，市住房城乡建设局安排政府采购预算52万元，其中：政府采购货物预算2万元、政府采购服务预算50万元。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5" w:name="_Toc1599733342"/>
      <w:r>
        <w:rPr>
          <w:rFonts w:hint="eastAsia" w:ascii="楷体_GB2312" w:hAnsi="楷体_GB2312" w:eastAsia="楷体_GB2312" w:cs="楷体_GB2312"/>
          <w:sz w:val="32"/>
          <w:szCs w:val="32"/>
          <w:lang w:val="en-US" w:eastAsia="zh-CN"/>
        </w:rPr>
        <w:t>（三）国有资产占有使用情况</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截至2023年底，市住房城乡建设局共有车辆2辆，其中，一般公务用车1辆，业务用车1辆。单位无价值200万元以上的大型设备。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6" w:name="_Toc79443011"/>
      <w:r>
        <w:rPr>
          <w:rFonts w:hint="eastAsia" w:ascii="楷体_GB2312" w:hAnsi="楷体_GB2312" w:eastAsia="楷体_GB2312" w:cs="楷体_GB2312"/>
          <w:sz w:val="32"/>
          <w:szCs w:val="32"/>
          <w:lang w:val="en-US" w:eastAsia="zh-CN"/>
        </w:rPr>
        <w:t>（四）绩效目标设置情况</w:t>
      </w:r>
      <w:bookmarkEnd w:id="2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2024年市住房城乡建设局开展绩效目标管理的项目26个，涉及预算2634.64万元。其中：人员类项目9个，涉及预算2072.45万元；运转类项目4个，涉及预算314.25万元；特定目标类项目13个，涉及预算247.94万元。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7" w:name="_Toc723939007"/>
      <w:r>
        <w:rPr>
          <w:rFonts w:hint="eastAsia" w:ascii="黑体" w:hAnsi="黑体" w:eastAsia="黑体" w:cs="黑体"/>
          <w:sz w:val="32"/>
          <w:szCs w:val="32"/>
          <w:lang w:val="en-US" w:eastAsia="zh-CN"/>
        </w:rPr>
        <w:t>十一、名词解释</w:t>
      </w:r>
      <w:bookmarkEnd w:id="27"/>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（一）一般公共预算拨款收入：</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（二）社会保障和就业（类）行政事业单位养老支出（款）机关事业单位基本养老保险缴费支出（项）：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（三）卫生健康（类）行政事业单位医疗（款）行政单位医疗（项）：</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指机关及参公管理事业单位按规定由单位缴纳的基本医疗保险支出。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（四）城乡社区（类）城乡社区管理事务支出（款）行政运行（项）：</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指行政单位的基本支出。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i w:val="0"/>
          <w:caps w:val="0"/>
          <w:color w:val="auto"/>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（五）城乡社区（类）城乡社区管理事务支出（款）一般行政管理事务（项）：</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指行政单位未单独设置项级科目的其他项目支出。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（六）住房保障（类）住房改革支出（款）住房公积金（项）：</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反映行政事业单位按人力资源和社会保障部、财政部规定的基本工资和津贴补贴以及规定比例为职工缴纳的住房公积金。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（七）基本支出：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（八）项目支出：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（九）“三公”经费：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（十）机关运行经费：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r>
        <w:rPr>
          <w:rFonts w:hint="default" w:ascii="仿宋_GB2312" w:hAnsi="仿宋_GB2312" w:eastAsia="仿宋_GB2312" w:cs="仿宋_GB2312"/>
          <w:sz w:val="32"/>
          <w:szCs w:val="32"/>
          <w:lang w:eastAsia="zh-CN"/>
        </w:rPr>
        <w:t>单位</w:t>
      </w:r>
      <w:r>
        <w:rPr>
          <w:rFonts w:hint="eastAsia" w:ascii="仿宋_GB2312" w:hAnsi="仿宋_GB2312" w:eastAsia="仿宋_GB2312" w:cs="仿宋_GB2312"/>
          <w:sz w:val="32"/>
          <w:szCs w:val="32"/>
          <w:lang w:val="en-US" w:eastAsia="zh-CN"/>
        </w:rPr>
        <w:t>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p>
    <w:sectPr>
      <w:footerReference r:id="rId4"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Comic Sans MS">
    <w:panose1 w:val="030F0702030302020204"/>
    <w:charset w:val="00"/>
    <w:family w:val="auto"/>
    <w:pitch w:val="default"/>
    <w:sig w:usb0="00000287" w:usb1="00000000" w:usb2="00000000" w:usb3="00000000" w:csb0="2000009F"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WAAAAZHJzL1BLAQIUABQAAAAIAIdO4kDO&#10;qXm5zwAAAAUBAAAPAAAAAAAAAAEAIAAAADgAAABkcnMvZG93bnJldi54bWxQSwECFAAUAAAACACH&#10;TuJAOwSzW94BAAC+AwAADgAAAAAAAAABACAAAAA0AQAAZHJzL2Uyb0RvYy54bWxQSwUGAAAAAAYA&#10;BgBZAQAAhAU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5MTc1YWUzNDk5OThmNzcwNDRiNmRkMjhiZTRiMmMifQ=="/>
  </w:docVars>
  <w:rsids>
    <w:rsidRoot w:val="00000000"/>
    <w:rsid w:val="012352D1"/>
    <w:rsid w:val="1D9F113A"/>
    <w:rsid w:val="1F7BF06F"/>
    <w:rsid w:val="1FEE4B73"/>
    <w:rsid w:val="23CE9849"/>
    <w:rsid w:val="372799D5"/>
    <w:rsid w:val="39F304DD"/>
    <w:rsid w:val="54244390"/>
    <w:rsid w:val="54662A63"/>
    <w:rsid w:val="58064E12"/>
    <w:rsid w:val="5B2F5722"/>
    <w:rsid w:val="5BFEE015"/>
    <w:rsid w:val="63EDCF55"/>
    <w:rsid w:val="63FBFBCF"/>
    <w:rsid w:val="669360FD"/>
    <w:rsid w:val="68FF6A83"/>
    <w:rsid w:val="6AEF6005"/>
    <w:rsid w:val="6E3DB48E"/>
    <w:rsid w:val="6ECF0A76"/>
    <w:rsid w:val="6F1FF328"/>
    <w:rsid w:val="6FBBC9CF"/>
    <w:rsid w:val="6FE55F47"/>
    <w:rsid w:val="72BDE561"/>
    <w:rsid w:val="72EE4E2A"/>
    <w:rsid w:val="73FD9873"/>
    <w:rsid w:val="78462278"/>
    <w:rsid w:val="7997EA6C"/>
    <w:rsid w:val="7AEAE675"/>
    <w:rsid w:val="7BAFCE5D"/>
    <w:rsid w:val="7D46598C"/>
    <w:rsid w:val="7D9F8F0F"/>
    <w:rsid w:val="7DFB240B"/>
    <w:rsid w:val="7DFE05E7"/>
    <w:rsid w:val="7E0935ED"/>
    <w:rsid w:val="7F9701CE"/>
    <w:rsid w:val="7FCF2AF7"/>
    <w:rsid w:val="8D7741C2"/>
    <w:rsid w:val="9E7FAEBE"/>
    <w:rsid w:val="9FEF033D"/>
    <w:rsid w:val="A27FF1E5"/>
    <w:rsid w:val="A7FFAF2D"/>
    <w:rsid w:val="AF3FEDDD"/>
    <w:rsid w:val="AFDEB5A7"/>
    <w:rsid w:val="AFEA7FBF"/>
    <w:rsid w:val="B83F4767"/>
    <w:rsid w:val="BEF9D0E6"/>
    <w:rsid w:val="BF930F07"/>
    <w:rsid w:val="BFCE8436"/>
    <w:rsid w:val="C3F7EB7A"/>
    <w:rsid w:val="C5F60589"/>
    <w:rsid w:val="CF3F0CAC"/>
    <w:rsid w:val="CFF5FEEC"/>
    <w:rsid w:val="D3DD9064"/>
    <w:rsid w:val="D6F76A0C"/>
    <w:rsid w:val="D7ECE8D2"/>
    <w:rsid w:val="DBF31FF6"/>
    <w:rsid w:val="DBFE8E69"/>
    <w:rsid w:val="DFDD4FB5"/>
    <w:rsid w:val="E7F748B5"/>
    <w:rsid w:val="EE5F3713"/>
    <w:rsid w:val="EFC9D62C"/>
    <w:rsid w:val="F3B527E7"/>
    <w:rsid w:val="F465873D"/>
    <w:rsid w:val="F6BE9755"/>
    <w:rsid w:val="F6FFA89B"/>
    <w:rsid w:val="F88D0DC7"/>
    <w:rsid w:val="FAE4EFE1"/>
    <w:rsid w:val="FB9B6F12"/>
    <w:rsid w:val="FBB66A4A"/>
    <w:rsid w:val="FDEE6989"/>
    <w:rsid w:val="FE7B7CB0"/>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qFormat/>
    <w:uiPriority w:val="99"/>
    <w:pPr>
      <w:keepNext/>
      <w:keepLines/>
      <w:spacing w:before="260" w:after="260" w:line="416" w:lineRule="auto"/>
      <w:outlineLvl w:val="1"/>
    </w:pPr>
    <w:rPr>
      <w:rFonts w:ascii="Cambria" w:hAnsi="Cambria" w:cs="Cambria"/>
      <w:b/>
      <w:bCs/>
      <w:sz w:val="32"/>
      <w:szCs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rPr>
      <w:sz w:val="24"/>
    </w:rPr>
  </w:style>
  <w:style w:type="character" w:styleId="11">
    <w:name w:val="Emphasis"/>
    <w:basedOn w:val="10"/>
    <w:qFormat/>
    <w:uiPriority w:val="0"/>
    <w:rPr>
      <w:i/>
    </w:rPr>
  </w:style>
  <w:style w:type="character" w:customStyle="1" w:styleId="12">
    <w:name w:val="默认段落字体1"/>
    <w:qFormat/>
    <w:uiPriority w:val="0"/>
  </w:style>
  <w:style w:type="paragraph" w:customStyle="1" w:styleId="13">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 w:type="paragraph" w:customStyle="1" w:styleId="15">
    <w:name w:val="ToCaption"/>
    <w:basedOn w:val="1"/>
    <w:next w:val="1"/>
    <w:qFormat/>
    <w:uiPriority w:val="0"/>
    <w:pPr>
      <w:spacing w:before="100" w:beforeAutospacing="1" w:after="100" w:afterAutospacing="1"/>
      <w:ind w:left="400" w:leftChars="200" w:hanging="200" w:hangingChars="200"/>
    </w:p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2018-12-02T09:47:00Z</dcterms:created>
  <dc:creator>admin</dc:creator>
  <cp:lastModifiedBy> </cp:lastModifiedBy>
  <dcterms:modified xsi:type="dcterms:W3CDTF">2024-02-28T10:25:18Z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