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广元市城市建设事务中心</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3"/>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3"/>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3"/>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569654733"/>
        <w15:color w:val="DBDBDB"/>
        <w:docPartObj>
          <w:docPartGallery w:val="Table of Contents"/>
          <w:docPartUnique/>
        </w:docPartObj>
      </w:sdtPr>
      <w:sdtEndPr>
        <w:rPr>
          <w:rFonts w:hint="eastAsia" w:ascii="仿宋_GB2312" w:hAnsi="仿宋_GB2312" w:eastAsia="仿宋_GB2312" w:cs="仿宋_GB2312"/>
          <w:b/>
          <w:i w:val="0"/>
          <w:caps w:val="0"/>
          <w:color w:val="000000" w:themeColor="text1"/>
          <w:spacing w:val="0"/>
          <w:kern w:val="0"/>
          <w:sz w:val="24"/>
          <w:szCs w:val="28"/>
          <w:highlight w:val="none"/>
          <w:shd w:val="clear" w:color="auto" w:fill="FFFFFF"/>
          <w:lang w:val="en-US" w:eastAsia="zh-CN" w:bidi="ar"/>
          <w14:textFill>
            <w14:solidFill>
              <w14:schemeClr w14:val="tx1"/>
            </w14:solidFill>
          </w14:textFill>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4"/>
            <w:tabs>
              <w:tab w:val="right" w:leader="dot" w:pos="8845"/>
            </w:tabs>
            <w:rPr>
              <w:rFonts w:hint="default"/>
              <w:b/>
            </w:rPr>
          </w:pPr>
          <w:r>
            <w:rPr>
              <w:rFonts w:hint="eastAsia" w:ascii="仿宋_GB2312" w:hAnsi="仿宋_GB2312" w:eastAsia="仿宋_GB2312" w:cs="仿宋_GB2312"/>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TOC \o "1-2" \h \u </w:instrText>
          </w:r>
          <w:r>
            <w:rPr>
              <w:rFonts w:hint="eastAsia" w:ascii="仿宋_GB2312" w:hAnsi="仿宋_GB2312" w:eastAsia="仿宋_GB2312" w:cs="仿宋_GB2312"/>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仿宋_GB2312" w:hAnsi="仿宋_GB2312" w:eastAsia="仿宋_GB2312" w:cs="仿宋_GB2312"/>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仿宋_GB2312" w:hAnsi="仿宋_GB2312" w:eastAsia="仿宋_GB2312" w:cs="仿宋_GB2312"/>
              <w:b/>
              <w:i w:val="0"/>
              <w:caps w:val="0"/>
              <w:spacing w:val="0"/>
              <w:kern w:val="0"/>
              <w:szCs w:val="28"/>
              <w:highlight w:val="none"/>
              <w:shd w:val="clear" w:color="auto" w:fill="FFFFFF"/>
              <w:lang w:val="en-US" w:eastAsia="zh-CN" w:bidi="ar"/>
            </w:rPr>
            <w:instrText xml:space="preserve"> HYPERLINK \l _Toc873843249 </w:instrText>
          </w:r>
          <w:r>
            <w:rPr>
              <w:rFonts w:hint="eastAsia" w:ascii="仿宋_GB2312" w:hAnsi="仿宋_GB2312" w:eastAsia="仿宋_GB2312" w:cs="仿宋_GB2312"/>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_Toc873843249 \h </w:instrText>
          </w:r>
          <w:r>
            <w:rPr>
              <w:b/>
            </w:rPr>
            <w:fldChar w:fldCharType="separate"/>
          </w:r>
          <w:r>
            <w:rPr>
              <w:b/>
            </w:rPr>
            <w:fldChar w:fldCharType="end"/>
          </w:r>
          <w:r>
            <w:rPr>
              <w:rFonts w:hint="eastAsia" w:ascii="仿宋_GB2312" w:hAnsi="仿宋_GB2312" w:eastAsia="仿宋_GB2312" w:cs="仿宋_GB2312"/>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r>
            <w:rPr>
              <w:rFonts w:hint="default" w:ascii="仿宋_GB2312" w:hAnsi="仿宋_GB2312" w:eastAsia="仿宋_GB2312" w:cs="仿宋_GB2312"/>
              <w:b/>
              <w:i w:val="0"/>
              <w:caps w:val="0"/>
              <w:color w:val="000000" w:themeColor="text1"/>
              <w:spacing w:val="0"/>
              <w:kern w:val="0"/>
              <w:szCs w:val="28"/>
              <w:highlight w:val="none"/>
              <w:shd w:val="clear" w:color="auto" w:fill="FFFFFF"/>
              <w:lang w:eastAsia="zh-CN" w:bidi="ar"/>
              <w14:textFill>
                <w14:solidFill>
                  <w14:schemeClr w14:val="tx1"/>
                </w14:solidFill>
              </w14:textFill>
            </w:rPr>
            <w:t>3</w:t>
          </w:r>
        </w:p>
        <w:p>
          <w:pPr>
            <w:pStyle w:val="15"/>
            <w:tabs>
              <w:tab w:val="right" w:leader="dot" w:pos="8845"/>
            </w:tabs>
            <w:rPr>
              <w:rFonts w:hint="default"/>
            </w:rPr>
          </w:pPr>
          <w:r>
            <w:rPr>
              <w:rFonts w:hint="eastAsia" w:ascii="仿宋_GB2312" w:hAnsi="仿宋_GB2312" w:eastAsia="仿宋_GB2312" w:cs="仿宋_GB2312"/>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仿宋_GB2312" w:hAnsi="仿宋_GB2312" w:eastAsia="仿宋_GB2312" w:cs="仿宋_GB2312"/>
              <w:i w:val="0"/>
              <w:caps w:val="0"/>
              <w:spacing w:val="0"/>
              <w:kern w:val="0"/>
              <w:szCs w:val="28"/>
              <w:highlight w:val="none"/>
              <w:shd w:val="clear" w:color="auto" w:fill="FFFFFF"/>
              <w:lang w:val="en-US" w:eastAsia="zh-CN" w:bidi="ar"/>
            </w:rPr>
            <w:instrText xml:space="preserve"> HYPERLINK \l _Toc331481023 </w:instrText>
          </w:r>
          <w:r>
            <w:rPr>
              <w:rFonts w:hint="eastAsia" w:ascii="仿宋_GB2312" w:hAnsi="仿宋_GB2312" w:eastAsia="仿宋_GB2312" w:cs="仿宋_GB2312"/>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广元市城市建设事务中心</w:t>
          </w:r>
          <w:r>
            <w:rPr>
              <w:rFonts w:hint="eastAsia" w:ascii="楷体_GB2312" w:hAnsi="楷体_GB2312" w:eastAsia="楷体_GB2312" w:cs="楷体_GB2312"/>
              <w:szCs w:val="32"/>
            </w:rPr>
            <w:t>职能简介</w:t>
          </w:r>
          <w:r>
            <w:tab/>
          </w:r>
          <w:r>
            <w:fldChar w:fldCharType="begin"/>
          </w:r>
          <w:r>
            <w:instrText xml:space="preserve"> PAGEREF _Toc331481023 \h </w:instrText>
          </w:r>
          <w:r>
            <w:fldChar w:fldCharType="separate"/>
          </w:r>
          <w:r>
            <w:fldChar w:fldCharType="end"/>
          </w:r>
          <w:r>
            <w:rPr>
              <w:rFonts w:hint="eastAsia" w:ascii="仿宋_GB2312" w:hAnsi="仿宋_GB2312" w:eastAsia="仿宋_GB2312" w:cs="仿宋_GB2312"/>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r>
            <w:rPr>
              <w:rFonts w:hint="default" w:ascii="仿宋_GB2312" w:hAnsi="仿宋_GB2312" w:eastAsia="仿宋_GB2312" w:cs="仿宋_GB2312"/>
              <w:i w:val="0"/>
              <w:caps w:val="0"/>
              <w:color w:val="000000" w:themeColor="text1"/>
              <w:spacing w:val="0"/>
              <w:kern w:val="0"/>
              <w:szCs w:val="28"/>
              <w:highlight w:val="none"/>
              <w:shd w:val="clear" w:color="auto" w:fill="FFFFFF"/>
              <w:lang w:eastAsia="zh-CN" w:bidi="ar"/>
              <w14:textFill>
                <w14:solidFill>
                  <w14:schemeClr w14:val="tx1"/>
                </w14:solidFill>
              </w14:textFill>
            </w:rPr>
            <w:t>3</w:t>
          </w:r>
        </w:p>
        <w:p>
          <w:pPr>
            <w:pStyle w:val="15"/>
            <w:tabs>
              <w:tab w:val="right" w:leader="dot" w:pos="8845"/>
            </w:tabs>
          </w:pPr>
          <w:r>
            <w:rPr>
              <w:rFonts w:hint="eastAsia" w:ascii="仿宋_GB2312" w:hAnsi="仿宋_GB2312" w:eastAsia="仿宋_GB2312" w:cs="仿宋_GB2312"/>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仿宋_GB2312" w:hAnsi="仿宋_GB2312" w:eastAsia="仿宋_GB2312" w:cs="仿宋_GB2312"/>
              <w:i w:val="0"/>
              <w:caps w:val="0"/>
              <w:spacing w:val="0"/>
              <w:kern w:val="0"/>
              <w:szCs w:val="28"/>
              <w:highlight w:val="none"/>
              <w:shd w:val="clear" w:color="auto" w:fill="FFFFFF"/>
              <w:lang w:val="en-US" w:eastAsia="zh-CN" w:bidi="ar"/>
            </w:rPr>
            <w:instrText xml:space="preserve"> HYPERLINK \l _Toc924267455 </w:instrText>
          </w:r>
          <w:r>
            <w:rPr>
              <w:rFonts w:hint="eastAsia" w:ascii="仿宋_GB2312" w:hAnsi="仿宋_GB2312" w:eastAsia="仿宋_GB2312" w:cs="仿宋_GB2312"/>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rPr>
            <w:t xml:space="preserve">（二） </w:t>
          </w:r>
          <w:r>
            <w:rPr>
              <w:rFonts w:hint="eastAsia" w:ascii="楷体_GB2312" w:hAnsi="楷体_GB2312" w:eastAsia="楷体_GB2312" w:cs="楷体_GB2312"/>
              <w:szCs w:val="32"/>
              <w:lang w:val="en-US" w:eastAsia="zh-CN"/>
            </w:rPr>
            <w:t>广元市城市建设事务中心</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_Toc924267455 \h </w:instrText>
          </w:r>
          <w:r>
            <w:fldChar w:fldCharType="separate"/>
          </w:r>
          <w:r>
            <w:t>3</w:t>
          </w:r>
          <w:r>
            <w:fldChar w:fldCharType="end"/>
          </w:r>
          <w:r>
            <w:rPr>
              <w:rFonts w:hint="eastAsia" w:ascii="仿宋_GB2312" w:hAnsi="仿宋_GB2312" w:eastAsia="仿宋_GB2312" w:cs="仿宋_GB2312"/>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b/>
            </w:rPr>
          </w:pPr>
          <w:r>
            <w:rPr>
              <w:rFonts w:hint="eastAsia" w:ascii="仿宋_GB2312" w:hAnsi="仿宋_GB2312" w:eastAsia="仿宋_GB2312" w:cs="仿宋_GB2312"/>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仿宋_GB2312" w:hAnsi="仿宋_GB2312" w:eastAsia="仿宋_GB2312" w:cs="仿宋_GB2312"/>
              <w:b/>
              <w:i w:val="0"/>
              <w:caps w:val="0"/>
              <w:spacing w:val="0"/>
              <w:kern w:val="0"/>
              <w:szCs w:val="28"/>
              <w:highlight w:val="none"/>
              <w:shd w:val="clear" w:color="auto" w:fill="FFFFFF"/>
              <w:lang w:val="en-US" w:eastAsia="zh-CN" w:bidi="ar"/>
            </w:rPr>
            <w:instrText xml:space="preserve"> HYPERLINK \l _Toc681422783 </w:instrText>
          </w:r>
          <w:r>
            <w:rPr>
              <w:rFonts w:hint="eastAsia" w:ascii="仿宋_GB2312" w:hAnsi="仿宋_GB2312" w:eastAsia="仿宋_GB2312" w:cs="仿宋_GB2312"/>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_Toc681422783 \h </w:instrText>
          </w:r>
          <w:r>
            <w:rPr>
              <w:b/>
            </w:rPr>
            <w:fldChar w:fldCharType="separate"/>
          </w:r>
          <w:r>
            <w:rPr>
              <w:b/>
            </w:rPr>
            <w:t>4</w:t>
          </w:r>
          <w:r>
            <w:rPr>
              <w:b/>
            </w:rPr>
            <w:fldChar w:fldCharType="end"/>
          </w:r>
          <w:r>
            <w:rPr>
              <w:rFonts w:hint="eastAsia" w:ascii="仿宋_GB2312" w:hAnsi="仿宋_GB2312" w:eastAsia="仿宋_GB2312" w:cs="仿宋_GB2312"/>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b/>
            </w:rPr>
          </w:pPr>
          <w:r>
            <w:rPr>
              <w:rFonts w:hint="eastAsia" w:ascii="仿宋_GB2312" w:hAnsi="仿宋_GB2312" w:eastAsia="仿宋_GB2312" w:cs="仿宋_GB2312"/>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仿宋_GB2312" w:hAnsi="仿宋_GB2312" w:eastAsia="仿宋_GB2312" w:cs="仿宋_GB2312"/>
              <w:b/>
              <w:i w:val="0"/>
              <w:caps w:val="0"/>
              <w:spacing w:val="0"/>
              <w:kern w:val="0"/>
              <w:szCs w:val="28"/>
              <w:highlight w:val="none"/>
              <w:shd w:val="clear" w:color="auto" w:fill="FFFFFF"/>
              <w:lang w:val="en-US" w:eastAsia="zh-CN" w:bidi="ar"/>
            </w:rPr>
            <w:instrText xml:space="preserve"> HYPERLINK \l _Toc1866734222 </w:instrText>
          </w:r>
          <w:r>
            <w:rPr>
              <w:rFonts w:hint="eastAsia" w:ascii="仿宋_GB2312" w:hAnsi="仿宋_GB2312" w:eastAsia="仿宋_GB2312" w:cs="仿宋_GB2312"/>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_Toc1866734222 \h </w:instrText>
          </w:r>
          <w:r>
            <w:rPr>
              <w:b/>
            </w:rPr>
            <w:fldChar w:fldCharType="separate"/>
          </w:r>
          <w:r>
            <w:rPr>
              <w:b/>
            </w:rPr>
            <w:t>4</w:t>
          </w:r>
          <w:r>
            <w:rPr>
              <w:b/>
            </w:rPr>
            <w:fldChar w:fldCharType="end"/>
          </w:r>
          <w:r>
            <w:rPr>
              <w:rFonts w:hint="eastAsia" w:ascii="仿宋_GB2312" w:hAnsi="仿宋_GB2312" w:eastAsia="仿宋_GB2312" w:cs="仿宋_GB2312"/>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5"/>
            <w:tabs>
              <w:tab w:val="right" w:leader="dot" w:pos="8845"/>
            </w:tabs>
          </w:pPr>
          <w:r>
            <w:rPr>
              <w:rFonts w:hint="eastAsia" w:ascii="仿宋_GB2312" w:hAnsi="仿宋_GB2312" w:eastAsia="仿宋_GB2312" w:cs="仿宋_GB2312"/>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仿宋_GB2312" w:hAnsi="仿宋_GB2312" w:eastAsia="仿宋_GB2312" w:cs="仿宋_GB2312"/>
              <w:i w:val="0"/>
              <w:caps w:val="0"/>
              <w:spacing w:val="0"/>
              <w:kern w:val="0"/>
              <w:szCs w:val="28"/>
              <w:highlight w:val="none"/>
              <w:shd w:val="clear" w:color="auto" w:fill="FFFFFF"/>
              <w:lang w:val="en-US" w:eastAsia="zh-CN" w:bidi="ar"/>
            </w:rPr>
            <w:instrText xml:space="preserve"> HYPERLINK \l _Toc839510886 </w:instrText>
          </w:r>
          <w:r>
            <w:rPr>
              <w:rFonts w:hint="eastAsia" w:ascii="仿宋_GB2312" w:hAnsi="仿宋_GB2312" w:eastAsia="仿宋_GB2312" w:cs="仿宋_GB2312"/>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_Toc839510886 \h </w:instrText>
          </w:r>
          <w:r>
            <w:fldChar w:fldCharType="separate"/>
          </w:r>
          <w:r>
            <w:t>4</w:t>
          </w:r>
          <w:r>
            <w:fldChar w:fldCharType="end"/>
          </w:r>
          <w:r>
            <w:rPr>
              <w:rFonts w:hint="eastAsia" w:ascii="仿宋_GB2312" w:hAnsi="仿宋_GB2312" w:eastAsia="仿宋_GB2312" w:cs="仿宋_GB2312"/>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5"/>
            <w:tabs>
              <w:tab w:val="right" w:leader="dot" w:pos="8845"/>
            </w:tabs>
            <w:rPr>
              <w:rFonts w:hint="default"/>
            </w:rPr>
          </w:pPr>
          <w:r>
            <w:rPr>
              <w:rFonts w:hint="eastAsia" w:ascii="仿宋_GB2312" w:hAnsi="仿宋_GB2312" w:eastAsia="仿宋_GB2312" w:cs="仿宋_GB2312"/>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仿宋_GB2312" w:hAnsi="仿宋_GB2312" w:eastAsia="仿宋_GB2312" w:cs="仿宋_GB2312"/>
              <w:i w:val="0"/>
              <w:caps w:val="0"/>
              <w:spacing w:val="0"/>
              <w:kern w:val="0"/>
              <w:szCs w:val="28"/>
              <w:highlight w:val="none"/>
              <w:shd w:val="clear" w:color="auto" w:fill="FFFFFF"/>
              <w:lang w:val="en-US" w:eastAsia="zh-CN" w:bidi="ar"/>
            </w:rPr>
            <w:instrText xml:space="preserve"> HYPERLINK \l _Toc1887544857 </w:instrText>
          </w:r>
          <w:r>
            <w:rPr>
              <w:rFonts w:hint="eastAsia" w:ascii="仿宋_GB2312" w:hAnsi="仿宋_GB2312" w:eastAsia="仿宋_GB2312" w:cs="仿宋_GB2312"/>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_Toc1887544857 \h </w:instrText>
          </w:r>
          <w:r>
            <w:fldChar w:fldCharType="separate"/>
          </w:r>
          <w:r>
            <w:fldChar w:fldCharType="end"/>
          </w:r>
          <w:r>
            <w:rPr>
              <w:rFonts w:hint="eastAsia" w:ascii="仿宋_GB2312" w:hAnsi="仿宋_GB2312" w:eastAsia="仿宋_GB2312" w:cs="仿宋_GB2312"/>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r>
            <w:rPr>
              <w:rFonts w:hint="default" w:ascii="仿宋_GB2312" w:hAnsi="仿宋_GB2312" w:eastAsia="仿宋_GB2312" w:cs="仿宋_GB2312"/>
              <w:i w:val="0"/>
              <w:caps w:val="0"/>
              <w:color w:val="000000" w:themeColor="text1"/>
              <w:spacing w:val="0"/>
              <w:kern w:val="0"/>
              <w:szCs w:val="28"/>
              <w:highlight w:val="none"/>
              <w:shd w:val="clear" w:color="auto" w:fill="FFFFFF"/>
              <w:lang w:eastAsia="zh-CN" w:bidi="ar"/>
              <w14:textFill>
                <w14:solidFill>
                  <w14:schemeClr w14:val="tx1"/>
                </w14:solidFill>
              </w14:textFill>
            </w:rPr>
            <w:t>5</w:t>
          </w:r>
        </w:p>
        <w:p>
          <w:pPr>
            <w:pStyle w:val="14"/>
            <w:tabs>
              <w:tab w:val="right" w:leader="dot" w:pos="8845"/>
            </w:tabs>
            <w:rPr>
              <w:rFonts w:hint="default"/>
              <w:b/>
            </w:rPr>
          </w:pPr>
          <w:r>
            <w:rPr>
              <w:rFonts w:hint="eastAsia" w:ascii="仿宋_GB2312" w:hAnsi="仿宋_GB2312" w:eastAsia="仿宋_GB2312" w:cs="仿宋_GB2312"/>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仿宋_GB2312" w:hAnsi="仿宋_GB2312" w:eastAsia="仿宋_GB2312" w:cs="仿宋_GB2312"/>
              <w:b/>
              <w:i w:val="0"/>
              <w:caps w:val="0"/>
              <w:spacing w:val="0"/>
              <w:kern w:val="0"/>
              <w:szCs w:val="28"/>
              <w:highlight w:val="none"/>
              <w:shd w:val="clear" w:color="auto" w:fill="FFFFFF"/>
              <w:lang w:val="en-US" w:eastAsia="zh-CN" w:bidi="ar"/>
            </w:rPr>
            <w:instrText xml:space="preserve"> HYPERLINK \l _Toc1653438436 </w:instrText>
          </w:r>
          <w:r>
            <w:rPr>
              <w:rFonts w:hint="eastAsia" w:ascii="仿宋_GB2312" w:hAnsi="仿宋_GB2312" w:eastAsia="仿宋_GB2312" w:cs="仿宋_GB2312"/>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_Toc1653438436 \h </w:instrText>
          </w:r>
          <w:r>
            <w:rPr>
              <w:b/>
            </w:rPr>
            <w:fldChar w:fldCharType="separate"/>
          </w:r>
          <w:r>
            <w:rPr>
              <w:b/>
            </w:rPr>
            <w:fldChar w:fldCharType="end"/>
          </w:r>
          <w:r>
            <w:rPr>
              <w:rFonts w:hint="eastAsia" w:ascii="仿宋_GB2312" w:hAnsi="仿宋_GB2312" w:eastAsia="仿宋_GB2312" w:cs="仿宋_GB2312"/>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r>
            <w:rPr>
              <w:rFonts w:hint="default" w:ascii="仿宋_GB2312" w:hAnsi="仿宋_GB2312" w:eastAsia="仿宋_GB2312" w:cs="仿宋_GB2312"/>
              <w:b/>
              <w:i w:val="0"/>
              <w:caps w:val="0"/>
              <w:color w:val="000000" w:themeColor="text1"/>
              <w:spacing w:val="0"/>
              <w:kern w:val="0"/>
              <w:szCs w:val="28"/>
              <w:highlight w:val="none"/>
              <w:shd w:val="clear" w:color="auto" w:fill="FFFFFF"/>
              <w:lang w:eastAsia="zh-CN" w:bidi="ar"/>
              <w14:textFill>
                <w14:solidFill>
                  <w14:schemeClr w14:val="tx1"/>
                </w14:solidFill>
              </w14:textFill>
            </w:rPr>
            <w:t>5</w:t>
          </w:r>
        </w:p>
        <w:p>
          <w:pPr>
            <w:pStyle w:val="14"/>
            <w:tabs>
              <w:tab w:val="right" w:leader="dot" w:pos="8845"/>
            </w:tabs>
            <w:rPr>
              <w:b/>
            </w:rPr>
          </w:pPr>
          <w:r>
            <w:rPr>
              <w:rFonts w:hint="eastAsia" w:ascii="仿宋_GB2312" w:hAnsi="仿宋_GB2312" w:eastAsia="仿宋_GB2312" w:cs="仿宋_GB2312"/>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仿宋_GB2312" w:hAnsi="仿宋_GB2312" w:eastAsia="仿宋_GB2312" w:cs="仿宋_GB2312"/>
              <w:b/>
              <w:i w:val="0"/>
              <w:caps w:val="0"/>
              <w:spacing w:val="0"/>
              <w:kern w:val="0"/>
              <w:szCs w:val="28"/>
              <w:highlight w:val="none"/>
              <w:shd w:val="clear" w:color="auto" w:fill="FFFFFF"/>
              <w:lang w:val="en-US" w:eastAsia="zh-CN" w:bidi="ar"/>
            </w:rPr>
            <w:instrText xml:space="preserve"> HYPERLINK \l _Toc1497019079 </w:instrText>
          </w:r>
          <w:r>
            <w:rPr>
              <w:rFonts w:hint="eastAsia" w:ascii="仿宋_GB2312" w:hAnsi="仿宋_GB2312" w:eastAsia="仿宋_GB2312" w:cs="仿宋_GB2312"/>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_Toc1497019079 \h </w:instrText>
          </w:r>
          <w:r>
            <w:rPr>
              <w:b/>
            </w:rPr>
            <w:fldChar w:fldCharType="separate"/>
          </w:r>
          <w:r>
            <w:rPr>
              <w:b/>
            </w:rPr>
            <w:t>5</w:t>
          </w:r>
          <w:r>
            <w:rPr>
              <w:b/>
            </w:rPr>
            <w:fldChar w:fldCharType="end"/>
          </w:r>
          <w:r>
            <w:rPr>
              <w:rFonts w:hint="eastAsia" w:ascii="仿宋_GB2312" w:hAnsi="仿宋_GB2312" w:eastAsia="仿宋_GB2312" w:cs="仿宋_GB2312"/>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5"/>
            <w:tabs>
              <w:tab w:val="right" w:leader="dot" w:pos="8845"/>
            </w:tabs>
          </w:pPr>
          <w:r>
            <w:rPr>
              <w:rFonts w:hint="eastAsia" w:ascii="仿宋_GB2312" w:hAnsi="仿宋_GB2312" w:eastAsia="仿宋_GB2312" w:cs="仿宋_GB2312"/>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仿宋_GB2312" w:hAnsi="仿宋_GB2312" w:eastAsia="仿宋_GB2312" w:cs="仿宋_GB2312"/>
              <w:i w:val="0"/>
              <w:caps w:val="0"/>
              <w:spacing w:val="0"/>
              <w:kern w:val="0"/>
              <w:szCs w:val="28"/>
              <w:highlight w:val="none"/>
              <w:shd w:val="clear" w:color="auto" w:fill="FFFFFF"/>
              <w:lang w:val="en-US" w:eastAsia="zh-CN" w:bidi="ar"/>
            </w:rPr>
            <w:instrText xml:space="preserve"> HYPERLINK \l _Toc1686456231 </w:instrText>
          </w:r>
          <w:r>
            <w:rPr>
              <w:rFonts w:hint="eastAsia" w:ascii="仿宋_GB2312" w:hAnsi="仿宋_GB2312" w:eastAsia="仿宋_GB2312" w:cs="仿宋_GB2312"/>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_Toc1686456231 \h </w:instrText>
          </w:r>
          <w:r>
            <w:fldChar w:fldCharType="separate"/>
          </w:r>
          <w:r>
            <w:t>5</w:t>
          </w:r>
          <w:r>
            <w:fldChar w:fldCharType="end"/>
          </w:r>
          <w:r>
            <w:rPr>
              <w:rFonts w:hint="eastAsia" w:ascii="仿宋_GB2312" w:hAnsi="仿宋_GB2312" w:eastAsia="仿宋_GB2312" w:cs="仿宋_GB2312"/>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5"/>
            <w:tabs>
              <w:tab w:val="right" w:leader="dot" w:pos="8845"/>
            </w:tabs>
          </w:pPr>
          <w:r>
            <w:rPr>
              <w:rFonts w:hint="eastAsia" w:ascii="仿宋_GB2312" w:hAnsi="仿宋_GB2312" w:eastAsia="仿宋_GB2312" w:cs="仿宋_GB2312"/>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仿宋_GB2312" w:hAnsi="仿宋_GB2312" w:eastAsia="仿宋_GB2312" w:cs="仿宋_GB2312"/>
              <w:i w:val="0"/>
              <w:caps w:val="0"/>
              <w:spacing w:val="0"/>
              <w:kern w:val="0"/>
              <w:szCs w:val="28"/>
              <w:highlight w:val="none"/>
              <w:shd w:val="clear" w:color="auto" w:fill="FFFFFF"/>
              <w:lang w:val="en-US" w:eastAsia="zh-CN" w:bidi="ar"/>
            </w:rPr>
            <w:instrText xml:space="preserve"> HYPERLINK \l _Toc1906452488 </w:instrText>
          </w:r>
          <w:r>
            <w:rPr>
              <w:rFonts w:hint="eastAsia" w:ascii="仿宋_GB2312" w:hAnsi="仿宋_GB2312" w:eastAsia="仿宋_GB2312" w:cs="仿宋_GB2312"/>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_Toc1906452488 \h </w:instrText>
          </w:r>
          <w:r>
            <w:fldChar w:fldCharType="separate"/>
          </w:r>
          <w:r>
            <w:t>5</w:t>
          </w:r>
          <w:r>
            <w:fldChar w:fldCharType="end"/>
          </w:r>
          <w:r>
            <w:rPr>
              <w:rFonts w:hint="eastAsia" w:ascii="仿宋_GB2312" w:hAnsi="仿宋_GB2312" w:eastAsia="仿宋_GB2312" w:cs="仿宋_GB2312"/>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5"/>
            <w:tabs>
              <w:tab w:val="right" w:leader="dot" w:pos="8845"/>
            </w:tabs>
          </w:pPr>
          <w:r>
            <w:rPr>
              <w:rFonts w:hint="eastAsia" w:ascii="仿宋_GB2312" w:hAnsi="仿宋_GB2312" w:eastAsia="仿宋_GB2312" w:cs="仿宋_GB2312"/>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仿宋_GB2312" w:hAnsi="仿宋_GB2312" w:eastAsia="仿宋_GB2312" w:cs="仿宋_GB2312"/>
              <w:i w:val="0"/>
              <w:caps w:val="0"/>
              <w:spacing w:val="0"/>
              <w:kern w:val="0"/>
              <w:szCs w:val="28"/>
              <w:highlight w:val="none"/>
              <w:shd w:val="clear" w:color="auto" w:fill="FFFFFF"/>
              <w:lang w:val="en-US" w:eastAsia="zh-CN" w:bidi="ar"/>
            </w:rPr>
            <w:instrText xml:space="preserve"> HYPERLINK \l _Toc1379761481 </w:instrText>
          </w:r>
          <w:r>
            <w:rPr>
              <w:rFonts w:hint="eastAsia" w:ascii="仿宋_GB2312" w:hAnsi="仿宋_GB2312" w:eastAsia="仿宋_GB2312" w:cs="仿宋_GB2312"/>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_Toc1379761481 \h </w:instrText>
          </w:r>
          <w:r>
            <w:fldChar w:fldCharType="separate"/>
          </w:r>
          <w:r>
            <w:t>5</w:t>
          </w:r>
          <w:r>
            <w:fldChar w:fldCharType="end"/>
          </w:r>
          <w:r>
            <w:rPr>
              <w:rFonts w:hint="eastAsia" w:ascii="仿宋_GB2312" w:hAnsi="仿宋_GB2312" w:eastAsia="仿宋_GB2312" w:cs="仿宋_GB2312"/>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b/>
            </w:rPr>
          </w:pPr>
          <w:r>
            <w:rPr>
              <w:rFonts w:hint="eastAsia" w:ascii="仿宋_GB2312" w:hAnsi="仿宋_GB2312" w:eastAsia="仿宋_GB2312" w:cs="仿宋_GB2312"/>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仿宋_GB2312" w:hAnsi="仿宋_GB2312" w:eastAsia="仿宋_GB2312" w:cs="仿宋_GB2312"/>
              <w:b/>
              <w:i w:val="0"/>
              <w:caps w:val="0"/>
              <w:spacing w:val="0"/>
              <w:kern w:val="0"/>
              <w:szCs w:val="28"/>
              <w:highlight w:val="none"/>
              <w:shd w:val="clear" w:color="auto" w:fill="FFFFFF"/>
              <w:lang w:val="en-US" w:eastAsia="zh-CN" w:bidi="ar"/>
            </w:rPr>
            <w:instrText xml:space="preserve"> HYPERLINK \l _Toc1496968327 </w:instrText>
          </w:r>
          <w:r>
            <w:rPr>
              <w:rFonts w:hint="eastAsia" w:ascii="仿宋_GB2312" w:hAnsi="仿宋_GB2312" w:eastAsia="仿宋_GB2312" w:cs="仿宋_GB2312"/>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_Toc1496968327 \h </w:instrText>
          </w:r>
          <w:r>
            <w:rPr>
              <w:b/>
            </w:rPr>
            <w:fldChar w:fldCharType="separate"/>
          </w:r>
          <w:r>
            <w:rPr>
              <w:b/>
            </w:rPr>
            <w:t>6</w:t>
          </w:r>
          <w:r>
            <w:rPr>
              <w:b/>
            </w:rPr>
            <w:fldChar w:fldCharType="end"/>
          </w:r>
          <w:r>
            <w:rPr>
              <w:rFonts w:hint="eastAsia" w:ascii="仿宋_GB2312" w:hAnsi="仿宋_GB2312" w:eastAsia="仿宋_GB2312" w:cs="仿宋_GB2312"/>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b/>
            </w:rPr>
          </w:pPr>
          <w:r>
            <w:rPr>
              <w:rFonts w:hint="eastAsia" w:ascii="仿宋_GB2312" w:hAnsi="仿宋_GB2312" w:eastAsia="仿宋_GB2312" w:cs="仿宋_GB2312"/>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仿宋_GB2312" w:hAnsi="仿宋_GB2312" w:eastAsia="仿宋_GB2312" w:cs="仿宋_GB2312"/>
              <w:b/>
              <w:i w:val="0"/>
              <w:caps w:val="0"/>
              <w:spacing w:val="0"/>
              <w:kern w:val="0"/>
              <w:szCs w:val="28"/>
              <w:highlight w:val="none"/>
              <w:shd w:val="clear" w:color="auto" w:fill="FFFFFF"/>
              <w:lang w:val="en-US" w:eastAsia="zh-CN" w:bidi="ar"/>
            </w:rPr>
            <w:instrText xml:space="preserve"> HYPERLINK \l _Toc1352490667 </w:instrText>
          </w:r>
          <w:r>
            <w:rPr>
              <w:rFonts w:hint="eastAsia" w:ascii="仿宋_GB2312" w:hAnsi="仿宋_GB2312" w:eastAsia="仿宋_GB2312" w:cs="仿宋_GB2312"/>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七、“三公”经费财政拨款预算安排情况说明</w:t>
          </w:r>
          <w:r>
            <w:rPr>
              <w:b/>
            </w:rPr>
            <w:tab/>
          </w:r>
          <w:r>
            <w:rPr>
              <w:b/>
            </w:rPr>
            <w:fldChar w:fldCharType="begin"/>
          </w:r>
          <w:r>
            <w:rPr>
              <w:b/>
            </w:rPr>
            <w:instrText xml:space="preserve"> PAGEREF _Toc1352490667 \h </w:instrText>
          </w:r>
          <w:r>
            <w:rPr>
              <w:b/>
            </w:rPr>
            <w:fldChar w:fldCharType="separate"/>
          </w:r>
          <w:r>
            <w:rPr>
              <w:b/>
            </w:rPr>
            <w:t>6</w:t>
          </w:r>
          <w:r>
            <w:rPr>
              <w:b/>
            </w:rPr>
            <w:fldChar w:fldCharType="end"/>
          </w:r>
          <w:r>
            <w:rPr>
              <w:rFonts w:hint="eastAsia" w:ascii="仿宋_GB2312" w:hAnsi="仿宋_GB2312" w:eastAsia="仿宋_GB2312" w:cs="仿宋_GB2312"/>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b/>
            </w:rPr>
          </w:pPr>
          <w:r>
            <w:rPr>
              <w:rFonts w:hint="eastAsia" w:ascii="仿宋_GB2312" w:hAnsi="仿宋_GB2312" w:eastAsia="仿宋_GB2312" w:cs="仿宋_GB2312"/>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仿宋_GB2312" w:hAnsi="仿宋_GB2312" w:eastAsia="仿宋_GB2312" w:cs="仿宋_GB2312"/>
              <w:b/>
              <w:i w:val="0"/>
              <w:caps w:val="0"/>
              <w:spacing w:val="0"/>
              <w:kern w:val="0"/>
              <w:szCs w:val="28"/>
              <w:highlight w:val="none"/>
              <w:shd w:val="clear" w:color="auto" w:fill="FFFFFF"/>
              <w:lang w:val="en-US" w:eastAsia="zh-CN" w:bidi="ar"/>
            </w:rPr>
            <w:instrText xml:space="preserve"> HYPERLINK \l _Toc1059746426 </w:instrText>
          </w:r>
          <w:r>
            <w:rPr>
              <w:rFonts w:hint="eastAsia" w:ascii="仿宋_GB2312" w:hAnsi="仿宋_GB2312" w:eastAsia="仿宋_GB2312" w:cs="仿宋_GB2312"/>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_Toc1059746426 \h </w:instrText>
          </w:r>
          <w:r>
            <w:rPr>
              <w:b/>
            </w:rPr>
            <w:fldChar w:fldCharType="separate"/>
          </w:r>
          <w:r>
            <w:rPr>
              <w:b/>
            </w:rPr>
            <w:t>7</w:t>
          </w:r>
          <w:r>
            <w:rPr>
              <w:b/>
            </w:rPr>
            <w:fldChar w:fldCharType="end"/>
          </w:r>
          <w:r>
            <w:rPr>
              <w:rFonts w:hint="eastAsia" w:ascii="仿宋_GB2312" w:hAnsi="仿宋_GB2312" w:eastAsia="仿宋_GB2312" w:cs="仿宋_GB2312"/>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b/>
            </w:rPr>
          </w:pPr>
          <w:r>
            <w:rPr>
              <w:rFonts w:hint="eastAsia" w:ascii="仿宋_GB2312" w:hAnsi="仿宋_GB2312" w:eastAsia="仿宋_GB2312" w:cs="仿宋_GB2312"/>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仿宋_GB2312" w:hAnsi="仿宋_GB2312" w:eastAsia="仿宋_GB2312" w:cs="仿宋_GB2312"/>
              <w:b/>
              <w:i w:val="0"/>
              <w:caps w:val="0"/>
              <w:spacing w:val="0"/>
              <w:kern w:val="0"/>
              <w:szCs w:val="28"/>
              <w:highlight w:val="none"/>
              <w:shd w:val="clear" w:color="auto" w:fill="FFFFFF"/>
              <w:lang w:val="en-US" w:eastAsia="zh-CN" w:bidi="ar"/>
            </w:rPr>
            <w:instrText xml:space="preserve"> HYPERLINK \l _Toc817091527 </w:instrText>
          </w:r>
          <w:r>
            <w:rPr>
              <w:rFonts w:hint="eastAsia" w:ascii="仿宋_GB2312" w:hAnsi="仿宋_GB2312" w:eastAsia="仿宋_GB2312" w:cs="仿宋_GB2312"/>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_Toc817091527 \h </w:instrText>
          </w:r>
          <w:r>
            <w:rPr>
              <w:b/>
            </w:rPr>
            <w:fldChar w:fldCharType="separate"/>
          </w:r>
          <w:r>
            <w:rPr>
              <w:b/>
            </w:rPr>
            <w:t>7</w:t>
          </w:r>
          <w:r>
            <w:rPr>
              <w:b/>
            </w:rPr>
            <w:fldChar w:fldCharType="end"/>
          </w:r>
          <w:r>
            <w:rPr>
              <w:rFonts w:hint="eastAsia" w:ascii="仿宋_GB2312" w:hAnsi="仿宋_GB2312" w:eastAsia="仿宋_GB2312" w:cs="仿宋_GB2312"/>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b/>
            </w:rPr>
          </w:pPr>
          <w:r>
            <w:rPr>
              <w:rFonts w:hint="eastAsia" w:ascii="仿宋_GB2312" w:hAnsi="仿宋_GB2312" w:eastAsia="仿宋_GB2312" w:cs="仿宋_GB2312"/>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仿宋_GB2312" w:hAnsi="仿宋_GB2312" w:eastAsia="仿宋_GB2312" w:cs="仿宋_GB2312"/>
              <w:b/>
              <w:i w:val="0"/>
              <w:caps w:val="0"/>
              <w:spacing w:val="0"/>
              <w:kern w:val="0"/>
              <w:szCs w:val="28"/>
              <w:highlight w:val="none"/>
              <w:shd w:val="clear" w:color="auto" w:fill="FFFFFF"/>
              <w:lang w:val="en-US" w:eastAsia="zh-CN" w:bidi="ar"/>
            </w:rPr>
            <w:instrText xml:space="preserve"> HYPERLINK \l _Toc2127914188 </w:instrText>
          </w:r>
          <w:r>
            <w:rPr>
              <w:rFonts w:hint="eastAsia" w:ascii="仿宋_GB2312" w:hAnsi="仿宋_GB2312" w:eastAsia="仿宋_GB2312" w:cs="仿宋_GB2312"/>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_Toc2127914188 \h </w:instrText>
          </w:r>
          <w:r>
            <w:rPr>
              <w:b/>
            </w:rPr>
            <w:fldChar w:fldCharType="separate"/>
          </w:r>
          <w:r>
            <w:rPr>
              <w:b/>
            </w:rPr>
            <w:t>7</w:t>
          </w:r>
          <w:r>
            <w:rPr>
              <w:b/>
            </w:rPr>
            <w:fldChar w:fldCharType="end"/>
          </w:r>
          <w:r>
            <w:rPr>
              <w:rFonts w:hint="eastAsia" w:ascii="仿宋_GB2312" w:hAnsi="仿宋_GB2312" w:eastAsia="仿宋_GB2312" w:cs="仿宋_GB2312"/>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5"/>
            <w:tabs>
              <w:tab w:val="right" w:leader="dot" w:pos="8845"/>
            </w:tabs>
          </w:pPr>
          <w:r>
            <w:rPr>
              <w:rFonts w:hint="eastAsia" w:ascii="仿宋_GB2312" w:hAnsi="仿宋_GB2312" w:eastAsia="仿宋_GB2312" w:cs="仿宋_GB2312"/>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仿宋_GB2312" w:hAnsi="仿宋_GB2312" w:eastAsia="仿宋_GB2312" w:cs="仿宋_GB2312"/>
              <w:i w:val="0"/>
              <w:caps w:val="0"/>
              <w:spacing w:val="0"/>
              <w:kern w:val="0"/>
              <w:szCs w:val="28"/>
              <w:highlight w:val="none"/>
              <w:shd w:val="clear" w:color="auto" w:fill="FFFFFF"/>
              <w:lang w:val="en-US" w:eastAsia="zh-CN" w:bidi="ar"/>
            </w:rPr>
            <w:instrText xml:space="preserve"> HYPERLINK \l _Toc423401237 </w:instrText>
          </w:r>
          <w:r>
            <w:rPr>
              <w:rFonts w:hint="eastAsia" w:ascii="仿宋_GB2312" w:hAnsi="仿宋_GB2312" w:eastAsia="仿宋_GB2312" w:cs="仿宋_GB2312"/>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_Toc423401237 \h </w:instrText>
          </w:r>
          <w:r>
            <w:fldChar w:fldCharType="separate"/>
          </w:r>
          <w:r>
            <w:t>7</w:t>
          </w:r>
          <w:r>
            <w:fldChar w:fldCharType="end"/>
          </w:r>
          <w:r>
            <w:rPr>
              <w:rFonts w:hint="eastAsia" w:ascii="仿宋_GB2312" w:hAnsi="仿宋_GB2312" w:eastAsia="仿宋_GB2312" w:cs="仿宋_GB2312"/>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5"/>
            <w:tabs>
              <w:tab w:val="right" w:leader="dot" w:pos="8845"/>
            </w:tabs>
          </w:pPr>
          <w:r>
            <w:rPr>
              <w:rFonts w:hint="eastAsia" w:ascii="仿宋_GB2312" w:hAnsi="仿宋_GB2312" w:eastAsia="仿宋_GB2312" w:cs="仿宋_GB2312"/>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仿宋_GB2312" w:hAnsi="仿宋_GB2312" w:eastAsia="仿宋_GB2312" w:cs="仿宋_GB2312"/>
              <w:i w:val="0"/>
              <w:caps w:val="0"/>
              <w:spacing w:val="0"/>
              <w:kern w:val="0"/>
              <w:szCs w:val="28"/>
              <w:highlight w:val="none"/>
              <w:shd w:val="clear" w:color="auto" w:fill="FFFFFF"/>
              <w:lang w:val="en-US" w:eastAsia="zh-CN" w:bidi="ar"/>
            </w:rPr>
            <w:instrText xml:space="preserve"> HYPERLINK \l _Toc637116640 </w:instrText>
          </w:r>
          <w:r>
            <w:rPr>
              <w:rFonts w:hint="eastAsia" w:ascii="仿宋_GB2312" w:hAnsi="仿宋_GB2312" w:eastAsia="仿宋_GB2312" w:cs="仿宋_GB2312"/>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_Toc637116640 \h </w:instrText>
          </w:r>
          <w:r>
            <w:fldChar w:fldCharType="separate"/>
          </w:r>
          <w:r>
            <w:t>7</w:t>
          </w:r>
          <w:r>
            <w:fldChar w:fldCharType="end"/>
          </w:r>
          <w:r>
            <w:rPr>
              <w:rFonts w:hint="eastAsia" w:ascii="仿宋_GB2312" w:hAnsi="仿宋_GB2312" w:eastAsia="仿宋_GB2312" w:cs="仿宋_GB2312"/>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5"/>
            <w:tabs>
              <w:tab w:val="right" w:leader="dot" w:pos="8845"/>
            </w:tabs>
          </w:pPr>
          <w:r>
            <w:rPr>
              <w:rFonts w:hint="eastAsia" w:ascii="仿宋_GB2312" w:hAnsi="仿宋_GB2312" w:eastAsia="仿宋_GB2312" w:cs="仿宋_GB2312"/>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仿宋_GB2312" w:hAnsi="仿宋_GB2312" w:eastAsia="仿宋_GB2312" w:cs="仿宋_GB2312"/>
              <w:i w:val="0"/>
              <w:caps w:val="0"/>
              <w:spacing w:val="0"/>
              <w:kern w:val="0"/>
              <w:szCs w:val="28"/>
              <w:highlight w:val="none"/>
              <w:shd w:val="clear" w:color="auto" w:fill="FFFFFF"/>
              <w:lang w:val="en-US" w:eastAsia="zh-CN" w:bidi="ar"/>
            </w:rPr>
            <w:instrText xml:space="preserve"> HYPERLINK \l _Toc1897311499 </w:instrText>
          </w:r>
          <w:r>
            <w:rPr>
              <w:rFonts w:hint="eastAsia" w:ascii="仿宋_GB2312" w:hAnsi="仿宋_GB2312" w:eastAsia="仿宋_GB2312" w:cs="仿宋_GB2312"/>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_Toc1897311499 \h </w:instrText>
          </w:r>
          <w:r>
            <w:fldChar w:fldCharType="separate"/>
          </w:r>
          <w:r>
            <w:t>8</w:t>
          </w:r>
          <w:r>
            <w:fldChar w:fldCharType="end"/>
          </w:r>
          <w:r>
            <w:rPr>
              <w:rFonts w:hint="eastAsia" w:ascii="仿宋_GB2312" w:hAnsi="仿宋_GB2312" w:eastAsia="仿宋_GB2312" w:cs="仿宋_GB2312"/>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5"/>
            <w:tabs>
              <w:tab w:val="right" w:leader="dot" w:pos="8845"/>
            </w:tabs>
          </w:pPr>
          <w:r>
            <w:rPr>
              <w:rFonts w:hint="eastAsia" w:ascii="仿宋_GB2312" w:hAnsi="仿宋_GB2312" w:eastAsia="仿宋_GB2312" w:cs="仿宋_GB2312"/>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仿宋_GB2312" w:hAnsi="仿宋_GB2312" w:eastAsia="仿宋_GB2312" w:cs="仿宋_GB2312"/>
              <w:i w:val="0"/>
              <w:caps w:val="0"/>
              <w:spacing w:val="0"/>
              <w:kern w:val="0"/>
              <w:szCs w:val="28"/>
              <w:highlight w:val="none"/>
              <w:shd w:val="clear" w:color="auto" w:fill="FFFFFF"/>
              <w:lang w:val="en-US" w:eastAsia="zh-CN" w:bidi="ar"/>
            </w:rPr>
            <w:instrText xml:space="preserve"> HYPERLINK \l _Toc1965347890 </w:instrText>
          </w:r>
          <w:r>
            <w:rPr>
              <w:rFonts w:hint="eastAsia" w:ascii="仿宋_GB2312" w:hAnsi="仿宋_GB2312" w:eastAsia="仿宋_GB2312" w:cs="仿宋_GB2312"/>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_Toc1965347890 \h </w:instrText>
          </w:r>
          <w:r>
            <w:fldChar w:fldCharType="separate"/>
          </w:r>
          <w:r>
            <w:t>8</w:t>
          </w:r>
          <w:r>
            <w:fldChar w:fldCharType="end"/>
          </w:r>
          <w:r>
            <w:rPr>
              <w:rFonts w:hint="eastAsia" w:ascii="仿宋_GB2312" w:hAnsi="仿宋_GB2312" w:eastAsia="仿宋_GB2312" w:cs="仿宋_GB2312"/>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b/>
            </w:rPr>
          </w:pPr>
          <w:r>
            <w:rPr>
              <w:rFonts w:hint="eastAsia" w:ascii="仿宋_GB2312" w:hAnsi="仿宋_GB2312" w:eastAsia="仿宋_GB2312" w:cs="仿宋_GB2312"/>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仿宋_GB2312" w:hAnsi="仿宋_GB2312" w:eastAsia="仿宋_GB2312" w:cs="仿宋_GB2312"/>
              <w:b/>
              <w:i w:val="0"/>
              <w:caps w:val="0"/>
              <w:spacing w:val="0"/>
              <w:kern w:val="0"/>
              <w:szCs w:val="28"/>
              <w:highlight w:val="none"/>
              <w:shd w:val="clear" w:color="auto" w:fill="FFFFFF"/>
              <w:lang w:val="en-US" w:eastAsia="zh-CN" w:bidi="ar"/>
            </w:rPr>
            <w:instrText xml:space="preserve"> HYPERLINK \l _Toc1765441066 </w:instrText>
          </w:r>
          <w:r>
            <w:rPr>
              <w:rFonts w:hint="eastAsia" w:ascii="仿宋_GB2312" w:hAnsi="仿宋_GB2312" w:eastAsia="仿宋_GB2312" w:cs="仿宋_GB2312"/>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_Toc1765441066 \h </w:instrText>
          </w:r>
          <w:r>
            <w:rPr>
              <w:b/>
            </w:rPr>
            <w:fldChar w:fldCharType="separate"/>
          </w:r>
          <w:r>
            <w:rPr>
              <w:b/>
            </w:rPr>
            <w:t>8</w:t>
          </w:r>
          <w:r>
            <w:rPr>
              <w:b/>
            </w:rPr>
            <w:fldChar w:fldCharType="end"/>
          </w:r>
          <w:r>
            <w:rPr>
              <w:rFonts w:hint="eastAsia" w:ascii="仿宋_GB2312" w:hAnsi="仿宋_GB2312" w:eastAsia="仿宋_GB2312" w:cs="仿宋_GB2312"/>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76" w:lineRule="exact"/>
            <w:ind w:left="0" w:right="0" w:firstLine="481" w:firstLineChars="200"/>
            <w:jc w:val="both"/>
            <w:textAlignment w:val="auto"/>
            <w:rPr>
              <w:rFonts w:hint="eastAsia" w:ascii="仿宋_GB2312" w:hAnsi="仿宋_GB2312" w:eastAsia="仿宋_GB2312" w:cs="仿宋_GB2312"/>
              <w:b/>
              <w:i w:val="0"/>
              <w:caps w:val="0"/>
              <w:color w:val="000000" w:themeColor="text1"/>
              <w:spacing w:val="0"/>
              <w:kern w:val="0"/>
              <w:sz w:val="24"/>
              <w:szCs w:val="28"/>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sdtContent>
    </w:sdt>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76" w:lineRule="exact"/>
        <w:ind w:left="0" w:right="0" w:firstLine="481" w:firstLineChars="200"/>
        <w:jc w:val="both"/>
        <w:textAlignment w:val="auto"/>
        <w:rPr>
          <w:rFonts w:hint="eastAsia" w:ascii="仿宋_GB2312" w:hAnsi="仿宋_GB2312" w:eastAsia="仿宋_GB2312" w:cs="仿宋_GB2312"/>
          <w:b/>
          <w:i w:val="0"/>
          <w:caps w:val="0"/>
          <w:color w:val="000000" w:themeColor="text1"/>
          <w:spacing w:val="0"/>
          <w:kern w:val="0"/>
          <w:sz w:val="24"/>
          <w:szCs w:val="28"/>
          <w:highlight w:val="none"/>
          <w:shd w:val="clear" w:color="auto" w:fill="FFFFFF"/>
          <w:lang w:val="en-US" w:eastAsia="zh-CN" w:bidi="ar"/>
          <w14:textFill>
            <w14:solidFill>
              <w14:schemeClr w14:val="tx1"/>
            </w14:solidFill>
          </w14:textFill>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76" w:lineRule="exact"/>
        <w:ind w:left="0" w:right="0" w:firstLine="481" w:firstLineChars="200"/>
        <w:jc w:val="both"/>
        <w:textAlignment w:val="auto"/>
        <w:rPr>
          <w:rFonts w:hint="eastAsia" w:ascii="仿宋_GB2312" w:hAnsi="仿宋_GB2312" w:eastAsia="仿宋_GB2312" w:cs="仿宋_GB2312"/>
          <w:b/>
          <w:i w:val="0"/>
          <w:caps w:val="0"/>
          <w:color w:val="000000" w:themeColor="text1"/>
          <w:spacing w:val="0"/>
          <w:kern w:val="0"/>
          <w:sz w:val="24"/>
          <w:szCs w:val="28"/>
          <w:highlight w:val="none"/>
          <w:shd w:val="clear" w:color="auto" w:fill="FFFFFF"/>
          <w:lang w:val="en-US" w:eastAsia="zh-CN" w:bidi="ar"/>
          <w14:textFill>
            <w14:solidFill>
              <w14:schemeClr w14:val="tx1"/>
            </w14:solidFill>
          </w14:textFill>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76" w:lineRule="exact"/>
        <w:ind w:left="0" w:right="0" w:firstLine="481" w:firstLineChars="200"/>
        <w:jc w:val="both"/>
        <w:textAlignment w:val="auto"/>
        <w:rPr>
          <w:rFonts w:hint="eastAsia" w:ascii="仿宋_GB2312" w:hAnsi="仿宋_GB2312" w:eastAsia="仿宋_GB2312" w:cs="仿宋_GB2312"/>
          <w:b/>
          <w:i w:val="0"/>
          <w:caps w:val="0"/>
          <w:color w:val="000000" w:themeColor="text1"/>
          <w:spacing w:val="0"/>
          <w:kern w:val="0"/>
          <w:sz w:val="24"/>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bidi w:val="0"/>
        <w:spacing w:before="130" w:beforeAutospacing="0" w:after="0" w:afterAutospacing="0" w:line="580" w:lineRule="atLeast"/>
        <w:ind w:left="0" w:leftChars="0" w:right="0" w:rightChars="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bookmarkStart w:id="22" w:name="_GoBack"/>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rPr>
      </w:pPr>
      <w:bookmarkStart w:id="0" w:name="_Toc873843249"/>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rPr>
      </w:pPr>
      <w:bookmarkStart w:id="1" w:name="_Toc331481023"/>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广元市城市建设事务中心</w:t>
      </w:r>
      <w:r>
        <w:rPr>
          <w:rFonts w:hint="eastAsia" w:ascii="楷体_GB2312" w:hAnsi="楷体_GB2312" w:eastAsia="楷体_GB2312" w:cs="楷体_GB2312"/>
          <w:sz w:val="32"/>
          <w:szCs w:val="32"/>
        </w:rPr>
        <w:t>职能简介</w:t>
      </w:r>
      <w:bookmarkEnd w:id="1"/>
    </w:p>
    <w:p>
      <w:pPr>
        <w:pStyle w:val="8"/>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130" w:beforeAutospacing="0" w:after="0" w:afterAutospacing="0" w:line="576" w:lineRule="exact"/>
        <w:ind w:left="0" w:leftChars="0" w:right="0" w:rightChars="0" w:firstLine="640" w:firstLineChars="200"/>
        <w:jc w:val="both"/>
        <w:textAlignment w:val="auto"/>
        <w:rPr>
          <w:rFonts w:hint="eastAsia" w:ascii="楷体_GB2312" w:hAnsi="楷体_GB2312" w:eastAsia="楷体_GB2312" w:cs="楷体_GB2312"/>
          <w:sz w:val="32"/>
          <w:szCs w:val="32"/>
        </w:rPr>
      </w:pPr>
      <w:r>
        <w:rPr>
          <w:rFonts w:hint="eastAsia" w:ascii="仿宋_GB2312" w:hAnsi="仿宋_GB2312" w:eastAsia="仿宋_GB2312" w:cs="仿宋_GB2312"/>
          <w:b w:val="0"/>
          <w:bCs/>
          <w:i w:val="0"/>
          <w:caps w:val="0"/>
          <w:color w:val="auto"/>
          <w:spacing w:val="0"/>
          <w:sz w:val="32"/>
          <w:szCs w:val="32"/>
          <w:shd w:val="clear" w:color="auto" w:fill="FFFFFF"/>
        </w:rPr>
        <w:t>负责市城区道路、桥梁、隧道、休闲长廊等市政基础设施建设及日常维护管理；协调推进市城区市政基础设施项目建设；参与市城区市政设施设计审查、施工过程质量监管和竣工验收等；配合做好地下管线及窨井设施管理，组织协调市城区排水防涝日常管理工作；做好市政公用设施运行、城镇燃气行业指导协调服务工作；</w:t>
      </w:r>
      <w:r>
        <w:rPr>
          <w:rFonts w:hint="eastAsia" w:ascii="仿宋_GB2312" w:hAnsi="仿宋_GB2312" w:eastAsia="仿宋_GB2312" w:cs="仿宋_GB2312"/>
          <w:b w:val="0"/>
          <w:bCs/>
          <w:i w:val="0"/>
          <w:caps w:val="0"/>
          <w:color w:val="auto"/>
          <w:spacing w:val="0"/>
          <w:sz w:val="32"/>
          <w:szCs w:val="32"/>
          <w:shd w:val="clear" w:color="auto" w:fill="FFFFFF"/>
          <w:lang w:eastAsia="zh-CN"/>
        </w:rPr>
        <w:t>加挂市栖凤湖事务中心牌子，</w:t>
      </w:r>
      <w:r>
        <w:rPr>
          <w:rFonts w:hint="eastAsia" w:ascii="仿宋_GB2312" w:hAnsi="仿宋_GB2312" w:eastAsia="仿宋_GB2312" w:cs="仿宋_GB2312"/>
          <w:b w:val="0"/>
          <w:bCs/>
          <w:i w:val="0"/>
          <w:caps w:val="0"/>
          <w:color w:val="auto"/>
          <w:spacing w:val="0"/>
          <w:sz w:val="32"/>
          <w:szCs w:val="32"/>
          <w:shd w:val="clear" w:color="auto" w:fill="FFFFFF"/>
        </w:rPr>
        <w:t>负责栖凤湖日常管理，督促指导相关部门做好栖凤湖配套设施的建设、维修、管理等</w:t>
      </w:r>
      <w:r>
        <w:rPr>
          <w:rFonts w:hint="eastAsia" w:ascii="仿宋_GB2312" w:hAnsi="仿宋_GB2312" w:eastAsia="仿宋_GB2312" w:cs="仿宋_GB2312"/>
          <w:b w:val="0"/>
          <w:bCs/>
          <w:i w:val="0"/>
          <w:caps w:val="0"/>
          <w:color w:val="auto"/>
          <w:spacing w:val="0"/>
          <w:sz w:val="32"/>
          <w:szCs w:val="32"/>
          <w:shd w:val="clear" w:color="auto" w:fill="FFFFFF"/>
          <w:lang w:eastAsia="zh-CN"/>
        </w:rPr>
        <w:t>；挂牌市海绵城市建设事务中心，增加承担海绵城市建设、管理及信息平台维护等事务性职责。</w:t>
      </w:r>
    </w:p>
    <w:p>
      <w:pPr>
        <w:keepNext w:val="0"/>
        <w:keepLines w:val="0"/>
        <w:pageBreakBefore w:val="0"/>
        <w:widowControl w:val="0"/>
        <w:numPr>
          <w:ilvl w:val="0"/>
          <w:numId w:val="1"/>
        </w:numPr>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rPr>
      </w:pPr>
      <w:bookmarkStart w:id="2" w:name="_Toc924267455"/>
      <w:r>
        <w:rPr>
          <w:rFonts w:hint="eastAsia" w:ascii="楷体_GB2312" w:hAnsi="楷体_GB2312" w:eastAsia="楷体_GB2312" w:cs="楷体_GB2312"/>
          <w:sz w:val="32"/>
          <w:szCs w:val="32"/>
          <w:lang w:val="en-US" w:eastAsia="zh-CN"/>
        </w:rPr>
        <w:t>广元市城市建设事务中心</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2"/>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val="0"/>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lang w:val="en-US" w:eastAsia="zh-CN"/>
        </w:rPr>
        <w:t>1.</w:t>
      </w:r>
      <w:r>
        <w:rPr>
          <w:rFonts w:hint="eastAsia" w:ascii="楷体_GB2312" w:hAnsi="楷体_GB2312" w:eastAsia="楷体_GB2312" w:cs="楷体_GB2312"/>
          <w:sz w:val="32"/>
          <w:szCs w:val="32"/>
          <w:highlight w:val="none"/>
          <w:lang w:val="en-US" w:eastAsia="zh-CN"/>
        </w:rPr>
        <w:t>持续抓好城镇燃气安全隐患排查整治。</w:t>
      </w:r>
      <w:r>
        <w:rPr>
          <w:rFonts w:hint="eastAsia" w:ascii="仿宋_GB2312" w:hAnsi="仿宋_GB2312" w:eastAsia="仿宋_GB2312" w:cs="仿宋_GB2312"/>
          <w:b/>
          <w:bCs/>
          <w:sz w:val="32"/>
          <w:szCs w:val="32"/>
          <w:highlight w:val="none"/>
          <w:lang w:val="en-US" w:eastAsia="zh-CN"/>
        </w:rPr>
        <w:t>一是</w:t>
      </w:r>
      <w:r>
        <w:rPr>
          <w:rFonts w:hint="eastAsia" w:ascii="仿宋_GB2312" w:hAnsi="仿宋_GB2312" w:eastAsia="仿宋_GB2312" w:cs="仿宋_GB2312"/>
          <w:sz w:val="32"/>
          <w:szCs w:val="32"/>
          <w:highlight w:val="none"/>
          <w:lang w:val="en-US" w:eastAsia="zh-CN"/>
        </w:rPr>
        <w:t>持续推进城市燃气管道等更新改造项目，从本质上消除安全隐患。</w:t>
      </w:r>
      <w:r>
        <w:rPr>
          <w:rFonts w:hint="eastAsia" w:ascii="仿宋_GB2312" w:hAnsi="仿宋_GB2312" w:eastAsia="仿宋_GB2312" w:cs="仿宋_GB2312"/>
          <w:b/>
          <w:bCs/>
          <w:sz w:val="32"/>
          <w:szCs w:val="32"/>
          <w:highlight w:val="none"/>
          <w:lang w:val="en-US" w:eastAsia="zh-CN"/>
        </w:rPr>
        <w:t>二是</w:t>
      </w:r>
      <w:r>
        <w:rPr>
          <w:rFonts w:hint="eastAsia" w:ascii="仿宋_GB2312" w:hAnsi="仿宋_GB2312" w:eastAsia="仿宋_GB2312" w:cs="仿宋_GB2312"/>
          <w:sz w:val="32"/>
          <w:szCs w:val="32"/>
          <w:highlight w:val="none"/>
          <w:lang w:val="en-US" w:eastAsia="zh-CN"/>
        </w:rPr>
        <w:t>常态化开展隐患排查治理工作，整治相关安全隐患。</w:t>
      </w:r>
      <w:r>
        <w:rPr>
          <w:rFonts w:hint="eastAsia" w:ascii="仿宋_GB2312" w:hAnsi="仿宋_GB2312" w:eastAsia="仿宋_GB2312" w:cs="仿宋_GB2312"/>
          <w:b/>
          <w:bCs/>
          <w:sz w:val="32"/>
          <w:szCs w:val="32"/>
          <w:highlight w:val="none"/>
          <w:lang w:val="en-US" w:eastAsia="zh-CN"/>
        </w:rPr>
        <w:t>三是</w:t>
      </w:r>
      <w:r>
        <w:rPr>
          <w:rFonts w:hint="eastAsia" w:ascii="仿宋_GB2312" w:hAnsi="仿宋_GB2312" w:eastAsia="仿宋_GB2312" w:cs="仿宋_GB2312"/>
          <w:sz w:val="32"/>
          <w:szCs w:val="32"/>
          <w:highlight w:val="none"/>
          <w:lang w:val="en-US" w:eastAsia="zh-CN"/>
        </w:rPr>
        <w:t>开展燃气安全宣传，通过制作短视频、发送短信、入户讲解等形式进行安全用气提示。</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val="0"/>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2.牵头做好市城区排水防涝应急抢险。</w:t>
      </w:r>
      <w:r>
        <w:rPr>
          <w:rFonts w:hint="eastAsia" w:ascii="仿宋_GB2312" w:hAnsi="仿宋_GB2312" w:eastAsia="仿宋_GB2312" w:cs="仿宋_GB2312"/>
          <w:b/>
          <w:bCs/>
          <w:sz w:val="32"/>
          <w:szCs w:val="32"/>
          <w:highlight w:val="none"/>
          <w:lang w:val="en-US" w:eastAsia="zh-CN"/>
        </w:rPr>
        <w:t>一是</w:t>
      </w:r>
      <w:r>
        <w:rPr>
          <w:rFonts w:hint="eastAsia" w:ascii="仿宋_GB2312" w:hAnsi="仿宋_GB2312" w:eastAsia="仿宋_GB2312" w:cs="仿宋_GB2312"/>
          <w:b w:val="0"/>
          <w:bCs w:val="0"/>
          <w:sz w:val="32"/>
          <w:szCs w:val="32"/>
          <w:highlight w:val="none"/>
          <w:lang w:val="en-US" w:eastAsia="zh-CN"/>
        </w:rPr>
        <w:t>汛期</w:t>
      </w:r>
      <w:r>
        <w:rPr>
          <w:rFonts w:hint="eastAsia" w:ascii="仿宋_GB2312" w:hAnsi="仿宋_GB2312" w:eastAsia="仿宋_GB2312" w:cs="仿宋_GB2312"/>
          <w:sz w:val="32"/>
          <w:szCs w:val="32"/>
          <w:highlight w:val="none"/>
          <w:lang w:val="en-US" w:eastAsia="zh-CN"/>
        </w:rPr>
        <w:t>严格执行24小时值班和领导带班制度，及时更新防汛值班信息，提醒相关科室做好防汛值班安排和记录。</w:t>
      </w:r>
      <w:r>
        <w:rPr>
          <w:rFonts w:hint="eastAsia" w:ascii="仿宋_GB2312" w:hAnsi="仿宋_GB2312" w:eastAsia="仿宋_GB2312" w:cs="仿宋_GB2312"/>
          <w:b/>
          <w:bCs/>
          <w:sz w:val="32"/>
          <w:szCs w:val="32"/>
          <w:highlight w:val="none"/>
          <w:lang w:val="en-US" w:eastAsia="zh-CN"/>
        </w:rPr>
        <w:t>二是</w:t>
      </w:r>
      <w:r>
        <w:rPr>
          <w:rFonts w:hint="eastAsia" w:ascii="仿宋_GB2312" w:hAnsi="仿宋_GB2312" w:eastAsia="仿宋_GB2312" w:cs="仿宋_GB2312"/>
          <w:sz w:val="32"/>
          <w:szCs w:val="32"/>
          <w:highlight w:val="none"/>
          <w:lang w:val="en-US" w:eastAsia="zh-CN"/>
        </w:rPr>
        <w:t>对市城区主要市政桥梁、道路以及排水管网、行洪沟渠、险工险段等，滚动开展隐患排查整治，尽最大可能消除安全隐患。</w:t>
      </w:r>
      <w:r>
        <w:rPr>
          <w:rFonts w:hint="eastAsia" w:ascii="仿宋_GB2312" w:hAnsi="仿宋_GB2312" w:eastAsia="仿宋_GB2312" w:cs="仿宋_GB2312"/>
          <w:b/>
          <w:bCs/>
          <w:sz w:val="32"/>
          <w:szCs w:val="32"/>
          <w:highlight w:val="none"/>
          <w:lang w:val="en-US" w:eastAsia="zh-CN"/>
        </w:rPr>
        <w:t>三是</w:t>
      </w:r>
      <w:r>
        <w:rPr>
          <w:rFonts w:hint="eastAsia" w:ascii="仿宋_GB2312" w:hAnsi="仿宋_GB2312" w:eastAsia="仿宋_GB2312" w:cs="仿宋_GB2312"/>
          <w:sz w:val="32"/>
          <w:szCs w:val="32"/>
          <w:highlight w:val="none"/>
          <w:lang w:val="en-US" w:eastAsia="zh-CN"/>
        </w:rPr>
        <w:t>牵头做好汛期应急抢险工作，定期开展应急抢险演练活动，确保城市安全度汛。</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val="0"/>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highlight w:val="none"/>
          <w:lang w:val="en-US" w:eastAsia="zh-CN"/>
        </w:rPr>
        <w:t>3.序时推进市政重点项目建设。</w:t>
      </w:r>
      <w:r>
        <w:rPr>
          <w:rFonts w:hint="eastAsia" w:ascii="仿宋_GB2312" w:hAnsi="仿宋_GB2312" w:eastAsia="仿宋_GB2312" w:cs="仿宋_GB2312"/>
          <w:b/>
          <w:bCs/>
          <w:sz w:val="32"/>
          <w:szCs w:val="32"/>
          <w:highlight w:val="none"/>
          <w:lang w:val="en-US" w:eastAsia="zh-CN"/>
        </w:rPr>
        <w:t>一是</w:t>
      </w:r>
      <w:r>
        <w:rPr>
          <w:rFonts w:hint="eastAsia" w:ascii="仿宋_GB2312" w:hAnsi="仿宋_GB2312" w:eastAsia="仿宋_GB2312" w:cs="仿宋_GB2312"/>
          <w:sz w:val="32"/>
          <w:szCs w:val="32"/>
          <w:highlight w:val="none"/>
          <w:lang w:eastAsia="zh-CN"/>
        </w:rPr>
        <w:t>盯紧盯牢盯实项目建设，有计划、有步骤地抓好落实工作，确保按计划完成年度项目建设任务。</w:t>
      </w:r>
      <w:r>
        <w:rPr>
          <w:rFonts w:hint="eastAsia" w:ascii="仿宋_GB2312" w:hAnsi="仿宋_GB2312" w:eastAsia="仿宋_GB2312" w:cs="仿宋_GB2312"/>
          <w:b/>
          <w:bCs/>
          <w:sz w:val="32"/>
          <w:szCs w:val="32"/>
          <w:highlight w:val="none"/>
          <w:lang w:val="en-US" w:eastAsia="zh-CN"/>
        </w:rPr>
        <w:t>二是</w:t>
      </w:r>
      <w:r>
        <w:rPr>
          <w:rFonts w:hint="eastAsia" w:ascii="仿宋_GB2312" w:hAnsi="仿宋_GB2312" w:eastAsia="仿宋_GB2312" w:cs="仿宋_GB2312"/>
          <w:sz w:val="32"/>
          <w:szCs w:val="32"/>
          <w:highlight w:val="none"/>
          <w:lang w:eastAsia="zh-CN"/>
        </w:rPr>
        <w:t>切实发挥好督促协调作用，及时解决项目实施过程中的重点、难点问题,确保项目建设进度和质量。</w:t>
      </w:r>
      <w:r>
        <w:rPr>
          <w:rFonts w:hint="eastAsia" w:ascii="仿宋_GB2312" w:hAnsi="仿宋_GB2312" w:eastAsia="仿宋_GB2312" w:cs="仿宋_GB2312"/>
          <w:b/>
          <w:bCs/>
          <w:sz w:val="32"/>
          <w:szCs w:val="32"/>
          <w:highlight w:val="none"/>
          <w:lang w:val="en-US" w:eastAsia="zh-CN"/>
        </w:rPr>
        <w:t>三是</w:t>
      </w:r>
      <w:r>
        <w:rPr>
          <w:rFonts w:hint="eastAsia" w:ascii="仿宋_GB2312" w:hAnsi="仿宋_GB2312" w:eastAsia="仿宋_GB2312" w:cs="仿宋_GB2312"/>
          <w:sz w:val="32"/>
          <w:szCs w:val="32"/>
          <w:highlight w:val="none"/>
          <w:lang w:eastAsia="zh-CN"/>
        </w:rPr>
        <w:t>加大项目建设督查力度，看进度、查问题、拿措施，定期通报进展情况，确保项目按计划、按进度顺利推进。</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lang w:val="en-US" w:eastAsia="zh-CN"/>
        </w:rPr>
      </w:pPr>
      <w:bookmarkStart w:id="3" w:name="_Toc681422783"/>
      <w:r>
        <w:rPr>
          <w:rFonts w:hint="eastAsia" w:ascii="黑体" w:hAnsi="黑体" w:eastAsia="黑体" w:cs="黑体"/>
          <w:sz w:val="32"/>
          <w:szCs w:val="32"/>
          <w:lang w:val="en-US" w:eastAsia="zh-CN"/>
        </w:rPr>
        <w:t>二、部门预算单位构成</w:t>
      </w:r>
      <w:bookmarkEnd w:id="3"/>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我单位为广元市住房和城乡建设局的下属二级预算单位，本单位无下属机构，设有内设机构5个。</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rPr>
      </w:pPr>
      <w:bookmarkStart w:id="4" w:name="_Toc1866734222"/>
      <w:r>
        <w:rPr>
          <w:rFonts w:hint="eastAsia" w:ascii="黑体" w:hAnsi="黑体" w:eastAsia="黑体" w:cs="黑体"/>
          <w:sz w:val="32"/>
          <w:szCs w:val="32"/>
          <w:lang w:val="en-US" w:eastAsia="zh-CN"/>
        </w:rPr>
        <w:t>三、收支预算情况说明</w:t>
      </w:r>
      <w:bookmarkEnd w:id="4"/>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广元市城市建设事务中心所有收入和支出均纳入部门预算管理。收入包括：一般公共预算拨款收入；支出包括：社会保障和就业支出、卫生健康支出、城乡社区支出、住房保障支出。广元市城市建设事务中心2024年收支预算总数422.86万元,比2023年收支预算总数减少0.38万元，主要原因是预算人数减少1人。</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5" w:name="_Toc839510886"/>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广元市城市建设事务中心2024年收入预算422.86万元，其中：一般公共预算拨款收入422.86万元，占100%。</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6" w:name="_Toc1887544857"/>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广元市城市建设事务中心2024年支出预算422.86万元，其中：基本支出392万元，占92.7%；项目支出30.86万元，占7.3%</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rPr>
      </w:pPr>
      <w:bookmarkStart w:id="7" w:name="_Toc1653438436"/>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广元市城市建设事务中心2024年财政拨款收支预算总数422.86万元,比2023年财政拨款收支预算总数减少0.38万元，主要原因是预算人数减少1人。</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收入包括：本年一般公共预算拨款收入422.86万元；支出包括：社会保障和就业支出36.56万元、卫生健康支出11.88万元、城乡社区支出343.24万元、住房保障支出31.17万元。</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lang w:val="en-US" w:eastAsia="zh-CN"/>
        </w:rPr>
      </w:pPr>
      <w:bookmarkStart w:id="8" w:name="_Toc1497019079"/>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9" w:name="_Toc1686456231"/>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广元市城市建设事务中心2024年一般公共预算当年拨款422.86万元，比2023年预算数减少0.38万元，主要原因是预算人数减少1人。</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10" w:name="_Toc1906452488"/>
      <w:r>
        <w:rPr>
          <w:rFonts w:hint="eastAsia" w:ascii="楷体_GB2312" w:hAnsi="楷体_GB2312" w:eastAsia="楷体_GB2312" w:cs="楷体_GB2312"/>
          <w:sz w:val="32"/>
          <w:szCs w:val="32"/>
          <w:lang w:val="en-US" w:eastAsia="zh-CN"/>
        </w:rPr>
        <w:t>（二）一般公共预算当年拨款结构情况</w:t>
      </w:r>
      <w:bookmarkEnd w:id="10"/>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社会保障和就业支出36.56万元，占8.65%；卫生健康支出11.88万元，占2.81%；城乡社区支出343.24万元，占81.17%；住房保障支出31.17万元，占7.37%。</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11" w:name="_Toc1379761481"/>
      <w:r>
        <w:rPr>
          <w:rFonts w:hint="eastAsia" w:ascii="楷体_GB2312" w:hAnsi="楷体_GB2312" w:eastAsia="楷体_GB2312" w:cs="楷体_GB2312"/>
          <w:sz w:val="32"/>
          <w:szCs w:val="32"/>
          <w:lang w:val="en-US" w:eastAsia="zh-CN"/>
        </w:rPr>
        <w:t>（三）一般公共预算当年拨款具体使用情况</w:t>
      </w:r>
      <w:bookmarkEnd w:id="11"/>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eastAsia="zh-CN"/>
        </w:rPr>
        <w:t>1</w:t>
      </w:r>
      <w:r>
        <w:rPr>
          <w:rFonts w:hint="eastAsia" w:ascii="仿宋_GB2312" w:hAnsi="仿宋_GB2312" w:eastAsia="仿宋_GB2312" w:cs="仿宋_GB2312"/>
          <w:sz w:val="32"/>
          <w:szCs w:val="32"/>
          <w:lang w:val="en-US" w:eastAsia="zh-CN"/>
        </w:rPr>
        <w:t>.社会保障和就业（类）行政事业单位养老支出（款）机关事业单位基本养老保险缴费支出（项）2024年预算数为36.56万元，主要用于：实施养老保险制度由单位缴纳的基本养老保险支出。</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eastAsia="zh-CN"/>
        </w:rPr>
        <w:t>2</w:t>
      </w:r>
      <w:r>
        <w:rPr>
          <w:rFonts w:hint="eastAsia" w:ascii="仿宋_GB2312" w:hAnsi="仿宋_GB2312" w:eastAsia="仿宋_GB2312" w:cs="仿宋_GB2312"/>
          <w:sz w:val="32"/>
          <w:szCs w:val="32"/>
          <w:lang w:val="en-US" w:eastAsia="zh-CN"/>
        </w:rPr>
        <w:t>.卫生健康（类）行政事业单位医疗（款）事业单位医疗（项）2024年预算数为11.88万元，主要用于：事业单位按规定由单位缴纳的基本医疗保险支出。</w:t>
      </w:r>
    </w:p>
    <w:p>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Autospacing="0" w:after="0" w:afterAutospacing="0" w:line="576" w:lineRule="exact"/>
        <w:ind w:left="0" w:leftChars="0" w:right="0" w:rightChars="0" w:firstLine="668"/>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shd w:val="clear" w:color="auto" w:fill="FFFFFF"/>
          <w:lang w:val="en" w:bidi="ar"/>
        </w:rPr>
        <w:t>3</w:t>
      </w:r>
      <w:r>
        <w:rPr>
          <w:rFonts w:hint="eastAsia" w:ascii="仿宋_GB2312" w:hAnsi="仿宋_GB2312" w:eastAsia="仿宋_GB2312" w:cs="仿宋_GB2312"/>
          <w:color w:val="auto"/>
          <w:kern w:val="0"/>
          <w:sz w:val="32"/>
          <w:szCs w:val="32"/>
          <w:shd w:val="clear" w:color="auto" w:fill="FFFFFF"/>
          <w:lang w:bidi="ar"/>
        </w:rPr>
        <w:t>.城乡社区支出（类）城乡社区管理事务（款）工程建设标准规范编制与监管（项）202</w:t>
      </w:r>
      <w:r>
        <w:rPr>
          <w:rFonts w:hint="eastAsia" w:ascii="仿宋_GB2312" w:hAnsi="仿宋_GB2312" w:eastAsia="仿宋_GB2312" w:cs="仿宋_GB2312"/>
          <w:color w:val="auto"/>
          <w:kern w:val="0"/>
          <w:sz w:val="32"/>
          <w:szCs w:val="32"/>
          <w:shd w:val="clear" w:color="auto" w:fill="FFFFFF"/>
          <w:lang w:val="en-US" w:eastAsia="zh-CN" w:bidi="ar"/>
        </w:rPr>
        <w:t>4</w:t>
      </w:r>
      <w:r>
        <w:rPr>
          <w:rFonts w:hint="eastAsia" w:ascii="仿宋_GB2312" w:hAnsi="仿宋_GB2312" w:eastAsia="仿宋_GB2312" w:cs="仿宋_GB2312"/>
          <w:color w:val="auto"/>
          <w:kern w:val="0"/>
          <w:sz w:val="32"/>
          <w:szCs w:val="32"/>
          <w:shd w:val="clear" w:color="auto" w:fill="FFFFFF"/>
          <w:lang w:bidi="ar"/>
        </w:rPr>
        <w:t>年预算数为</w:t>
      </w:r>
      <w:r>
        <w:rPr>
          <w:rFonts w:hint="eastAsia" w:ascii="仿宋_GB2312" w:hAnsi="仿宋_GB2312" w:eastAsia="仿宋_GB2312" w:cs="仿宋_GB2312"/>
          <w:color w:val="auto"/>
          <w:kern w:val="0"/>
          <w:sz w:val="32"/>
          <w:szCs w:val="32"/>
          <w:shd w:val="clear" w:color="auto" w:fill="FFFFFF"/>
          <w:lang w:val="en-US" w:eastAsia="zh-CN" w:bidi="ar"/>
        </w:rPr>
        <w:t>343.24</w:t>
      </w:r>
      <w:r>
        <w:rPr>
          <w:rFonts w:hint="eastAsia" w:ascii="仿宋_GB2312" w:hAnsi="仿宋_GB2312" w:eastAsia="仿宋_GB2312" w:cs="仿宋_GB2312"/>
          <w:color w:val="auto"/>
          <w:kern w:val="0"/>
          <w:sz w:val="32"/>
          <w:szCs w:val="32"/>
          <w:shd w:val="clear" w:color="auto" w:fill="FFFFFF"/>
          <w:lang w:bidi="ar"/>
        </w:rPr>
        <w:t>万元，主要用于：单位运转基本支出。</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eastAsia="zh-CN"/>
        </w:rPr>
        <w:t>4</w:t>
      </w:r>
      <w:r>
        <w:rPr>
          <w:rFonts w:hint="eastAsia" w:ascii="仿宋_GB2312" w:hAnsi="仿宋_GB2312" w:eastAsia="仿宋_GB2312" w:cs="仿宋_GB2312"/>
          <w:sz w:val="32"/>
          <w:szCs w:val="32"/>
          <w:lang w:val="en-US" w:eastAsia="zh-CN"/>
        </w:rPr>
        <w:t>.住房保障（类）住房改革支出（款）住房公积金（项）2024年预算数为31.17万元，主要用于：单位按规定为职工缴纳的住房公积金支出。</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rPr>
      </w:pPr>
      <w:bookmarkStart w:id="12" w:name="_Toc1496968327"/>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广元市城市建设事务中心2024年一般公共预算基本支出392万元，其中：</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人员经费356.8万元，主要包括：基本工资、津贴补贴、奖金、绩效工资、</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机关事业单位基本养老保险缴费、职工基本医疗保险缴费、其他社会保险缴费、</w:t>
      </w:r>
      <w:r>
        <w:rPr>
          <w:rFonts w:hint="eastAsia" w:ascii="仿宋_GB2312" w:hAnsi="仿宋_GB2312" w:eastAsia="仿宋_GB2312" w:cs="仿宋_GB2312"/>
          <w:sz w:val="32"/>
          <w:szCs w:val="32"/>
          <w:lang w:val="en-US" w:eastAsia="zh-CN"/>
        </w:rPr>
        <w:t>住房公积金</w:t>
      </w:r>
      <w:r>
        <w:rPr>
          <w:rFonts w:hint="default" w:ascii="仿宋_GB2312" w:hAnsi="仿宋_GB2312" w:eastAsia="仿宋_GB2312" w:cs="仿宋_GB2312"/>
          <w:sz w:val="32"/>
          <w:szCs w:val="32"/>
          <w:lang w:eastAsia="zh-CN"/>
        </w:rPr>
        <w:t>、生活补助</w:t>
      </w:r>
      <w:r>
        <w:rPr>
          <w:rFonts w:hint="eastAsia" w:ascii="仿宋_GB2312" w:hAnsi="仿宋_GB2312" w:eastAsia="仿宋_GB2312" w:cs="仿宋_GB2312"/>
          <w:sz w:val="32"/>
          <w:szCs w:val="32"/>
          <w:lang w:val="en-US" w:eastAsia="zh-CN"/>
        </w:rPr>
        <w:t>等支出。</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公用经费35.2万元，主要包括：办公费、水费、电费、邮电费、物业管理费、差旅费、会议费、培训费、公务接待费、工会经费、福利费、其他交通费用、其他商品和服务支出等支出。</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rPr>
      </w:pPr>
      <w:bookmarkStart w:id="13" w:name="_Toc1352490667"/>
      <w:r>
        <w:rPr>
          <w:rFonts w:hint="eastAsia" w:ascii="黑体" w:hAnsi="黑体" w:eastAsia="黑体" w:cs="黑体"/>
          <w:sz w:val="32"/>
          <w:szCs w:val="32"/>
          <w:lang w:val="en-US" w:eastAsia="zh-CN"/>
        </w:rPr>
        <w:t>七、“三公”经费财政拨款预算安排情况说明</w:t>
      </w:r>
      <w:bookmarkEnd w:id="13"/>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广元市城市建设事务中心2024年“三公”经费财政拨款预算数0.15万元，其中：公务接待费0.15万元，公务用车购置及运行维护费0万元，因公出国（境）经费0万元。</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2"/>
        </w:numPr>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单位现有公务用车0辆。2024年未安排公务用车购置费。</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因公出国（境）经费与2023年预算相比持平。2024年无因公出国计划。</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lang w:val="en-US" w:eastAsia="zh-CN"/>
        </w:rPr>
      </w:pPr>
      <w:bookmarkStart w:id="14" w:name="_Toc1059746426"/>
      <w:r>
        <w:rPr>
          <w:rFonts w:hint="eastAsia" w:ascii="黑体" w:hAnsi="黑体" w:eastAsia="黑体" w:cs="黑体"/>
          <w:sz w:val="32"/>
          <w:szCs w:val="32"/>
          <w:lang w:val="en-US" w:eastAsia="zh-CN"/>
        </w:rPr>
        <w:t>八、政府性基金预算支出情况说明</w:t>
      </w:r>
      <w:bookmarkEnd w:id="14"/>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广元市城市建设事务中心2024年无政府性基金预算拨款安排的支出。</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lang w:val="en-US" w:eastAsia="zh-CN"/>
        </w:rPr>
      </w:pPr>
      <w:bookmarkStart w:id="15" w:name="_Toc817091527"/>
      <w:r>
        <w:rPr>
          <w:rFonts w:hint="eastAsia" w:ascii="黑体" w:hAnsi="黑体" w:eastAsia="黑体" w:cs="黑体"/>
          <w:sz w:val="32"/>
          <w:szCs w:val="32"/>
          <w:lang w:val="en-US" w:eastAsia="zh-CN"/>
        </w:rPr>
        <w:t>九、国有资本经营预算支出情况说明</w:t>
      </w:r>
      <w:bookmarkEnd w:id="15"/>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广元市城市建设事务中心2024年无国有资本经营预算拨款安排的支出。</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rPr>
      </w:pPr>
      <w:bookmarkStart w:id="16" w:name="_Toc2127914188"/>
      <w:r>
        <w:rPr>
          <w:rFonts w:hint="eastAsia" w:ascii="黑体" w:hAnsi="黑体" w:eastAsia="黑体" w:cs="黑体"/>
          <w:sz w:val="32"/>
          <w:szCs w:val="32"/>
          <w:lang w:val="en-US" w:eastAsia="zh-CN"/>
        </w:rPr>
        <w:t>十、其他重要事项的情况说明</w:t>
      </w:r>
      <w:bookmarkEnd w:id="16"/>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17" w:name="_Toc423401237"/>
      <w:r>
        <w:rPr>
          <w:rFonts w:hint="eastAsia" w:ascii="楷体_GB2312" w:hAnsi="楷体_GB2312" w:eastAsia="楷体_GB2312" w:cs="楷体_GB2312"/>
          <w:sz w:val="32"/>
          <w:szCs w:val="32"/>
          <w:lang w:val="en-US" w:eastAsia="zh-CN"/>
        </w:rPr>
        <w:t>（一）机关运行经费</w:t>
      </w:r>
      <w:bookmarkEnd w:id="17"/>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color w:val="auto"/>
          <w:kern w:val="0"/>
          <w:sz w:val="32"/>
          <w:szCs w:val="32"/>
          <w:lang w:eastAsia="zh-CN"/>
        </w:rPr>
        <w:t>广元市城市建设事务中心为</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事业单位，按规定未使用机关运行的相关科目。</w:t>
      </w:r>
      <w:bookmarkStart w:id="18" w:name="_Toc637116640"/>
    </w:p>
    <w:p>
      <w:pPr>
        <w:keepNext w:val="0"/>
        <w:keepLines w:val="0"/>
        <w:pageBreakBefore w:val="0"/>
        <w:widowControl/>
        <w:numPr>
          <w:ilvl w:val="0"/>
          <w:numId w:val="2"/>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政府采购情况</w:t>
      </w:r>
      <w:bookmarkEnd w:id="18"/>
    </w:p>
    <w:p>
      <w:pPr>
        <w:keepNext w:val="0"/>
        <w:keepLines w:val="0"/>
        <w:pageBreakBefore w:val="0"/>
        <w:widowControl/>
        <w:numPr>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2024年，广元市城市建设事务中心安排政府采购预算0万元。</w:t>
      </w:r>
      <w:bookmarkStart w:id="19" w:name="_Toc1897311499"/>
    </w:p>
    <w:p>
      <w:pPr>
        <w:keepNext w:val="0"/>
        <w:keepLines w:val="0"/>
        <w:pageBreakBefore w:val="0"/>
        <w:widowControl/>
        <w:numPr>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bookmarkEnd w:id="19"/>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截至2023年底，广元市城市建设事务中心共有车辆1辆，其中，</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业务用车1辆</w:t>
      </w:r>
      <w:r>
        <w:rPr>
          <w:rFonts w:hint="eastAsia" w:ascii="仿宋_GB2312" w:hAnsi="仿宋_GB2312" w:eastAsia="仿宋_GB2312" w:cs="仿宋_GB2312"/>
          <w:color w:val="auto"/>
          <w:sz w:val="32"/>
          <w:szCs w:val="32"/>
          <w:lang w:val="en-US" w:eastAsia="zh-CN"/>
        </w:rPr>
        <w:t>。单位价值200万元以上大型设备0台（套）。</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default" w:ascii="仿宋_GB2312" w:hAnsi="仿宋_GB2312" w:eastAsia="仿宋_GB2312" w:cs="仿宋_GB2312"/>
          <w:color w:val="auto"/>
          <w:sz w:val="32"/>
          <w:szCs w:val="32"/>
          <w:lang w:eastAsia="zh-CN"/>
        </w:rPr>
      </w:pPr>
      <w:r>
        <w:rPr>
          <w:rFonts w:hint="default" w:ascii="仿宋_GB2312" w:hAnsi="Calibri" w:eastAsia="仿宋_GB2312" w:cs="仿宋_GB2312"/>
          <w:color w:val="auto"/>
          <w:kern w:val="2"/>
          <w:sz w:val="32"/>
          <w:szCs w:val="32"/>
          <w:lang w:val="en-US" w:eastAsia="zh-CN" w:bidi="ar"/>
        </w:rPr>
        <w:t>2024年部门预算未安排购置车辆及单位价值200万元以上大型设备</w:t>
      </w:r>
      <w:r>
        <w:rPr>
          <w:rFonts w:hint="default" w:ascii="仿宋_GB2312" w:eastAsia="仿宋_GB2312" w:cs="仿宋_GB2312"/>
          <w:color w:val="auto"/>
          <w:kern w:val="2"/>
          <w:sz w:val="32"/>
          <w:szCs w:val="32"/>
          <w:lang w:eastAsia="zh-CN" w:bidi="ar"/>
        </w:rPr>
        <w:t>。</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rPr>
      </w:pPr>
      <w:bookmarkStart w:id="20" w:name="_Toc1965347890"/>
      <w:r>
        <w:rPr>
          <w:rFonts w:hint="eastAsia" w:ascii="楷体_GB2312" w:hAnsi="楷体_GB2312" w:eastAsia="楷体_GB2312" w:cs="楷体_GB2312"/>
          <w:sz w:val="32"/>
          <w:szCs w:val="32"/>
          <w:lang w:val="en-US" w:eastAsia="zh-CN"/>
        </w:rPr>
        <w:t>（四）绩效目标设置情况</w:t>
      </w:r>
      <w:bookmarkEnd w:id="20"/>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2024年广元市城市建设事务中心开</w:t>
      </w:r>
      <w:r>
        <w:rPr>
          <w:rFonts w:hint="eastAsia" w:ascii="仿宋_GB2312" w:hAnsi="仿宋_GB2312" w:eastAsia="仿宋_GB2312" w:cs="仿宋_GB2312"/>
          <w:sz w:val="32"/>
          <w:szCs w:val="32"/>
          <w:lang w:val="en-US" w:eastAsia="zh-CN"/>
        </w:rPr>
        <w:t>展绩效目标管理的项目</w:t>
      </w:r>
      <w:r>
        <w:rPr>
          <w:rFonts w:hint="default" w:ascii="仿宋_GB2312" w:hAnsi="仿宋_GB2312" w:eastAsia="仿宋_GB2312" w:cs="仿宋_GB2312"/>
          <w:sz w:val="32"/>
          <w:szCs w:val="32"/>
          <w:lang w:val="en" w:eastAsia="zh-CN"/>
        </w:rPr>
        <w:t>11</w:t>
      </w:r>
      <w:r>
        <w:rPr>
          <w:rFonts w:hint="eastAsia" w:ascii="仿宋_GB2312" w:hAnsi="仿宋_GB2312" w:eastAsia="仿宋_GB2312" w:cs="仿宋_GB2312"/>
          <w:sz w:val="32"/>
          <w:szCs w:val="32"/>
          <w:lang w:val="en-US" w:eastAsia="zh-CN"/>
        </w:rPr>
        <w:t>个，涉及预算</w:t>
      </w:r>
      <w:r>
        <w:rPr>
          <w:rFonts w:hint="default" w:ascii="仿宋_GB2312" w:hAnsi="仿宋_GB2312" w:eastAsia="仿宋_GB2312" w:cs="仿宋_GB2312"/>
          <w:sz w:val="32"/>
          <w:szCs w:val="32"/>
          <w:lang w:val="en" w:eastAsia="zh-CN"/>
        </w:rPr>
        <w:t>422.86</w:t>
      </w:r>
      <w:r>
        <w:rPr>
          <w:rFonts w:hint="eastAsia" w:ascii="仿宋_GB2312" w:hAnsi="仿宋_GB2312" w:eastAsia="仿宋_GB2312" w:cs="仿宋_GB2312"/>
          <w:sz w:val="32"/>
          <w:szCs w:val="32"/>
          <w:lang w:val="en-US" w:eastAsia="zh-CN"/>
        </w:rPr>
        <w:t>万元。其中：人员类项目</w:t>
      </w:r>
      <w:r>
        <w:rPr>
          <w:rFonts w:hint="default" w:ascii="仿宋_GB2312" w:hAnsi="仿宋_GB2312" w:eastAsia="仿宋_GB2312" w:cs="仿宋_GB2312"/>
          <w:sz w:val="32"/>
          <w:szCs w:val="32"/>
          <w:lang w:val="en" w:eastAsia="zh-CN"/>
        </w:rPr>
        <w:t>5</w:t>
      </w:r>
      <w:r>
        <w:rPr>
          <w:rFonts w:hint="eastAsia" w:ascii="仿宋_GB2312" w:hAnsi="仿宋_GB2312" w:eastAsia="仿宋_GB2312" w:cs="仿宋_GB2312"/>
          <w:sz w:val="32"/>
          <w:szCs w:val="32"/>
          <w:lang w:val="en-US" w:eastAsia="zh-CN"/>
        </w:rPr>
        <w:t xml:space="preserve">个，涉及预算 </w:t>
      </w:r>
      <w:r>
        <w:rPr>
          <w:rFonts w:hint="default" w:ascii="仿宋_GB2312" w:hAnsi="仿宋_GB2312" w:eastAsia="仿宋_GB2312" w:cs="仿宋_GB2312"/>
          <w:sz w:val="32"/>
          <w:szCs w:val="32"/>
          <w:lang w:val="en" w:eastAsia="zh-CN"/>
        </w:rPr>
        <w:t>356.8</w:t>
      </w:r>
      <w:r>
        <w:rPr>
          <w:rFonts w:hint="eastAsia" w:ascii="仿宋_GB2312" w:hAnsi="仿宋_GB2312" w:eastAsia="仿宋_GB2312" w:cs="仿宋_GB2312"/>
          <w:sz w:val="32"/>
          <w:szCs w:val="32"/>
          <w:lang w:val="en-US" w:eastAsia="zh-CN"/>
        </w:rPr>
        <w:t>万元；运转类项目</w:t>
      </w:r>
      <w:r>
        <w:rPr>
          <w:rFonts w:hint="default" w:ascii="仿宋_GB2312" w:hAnsi="仿宋_GB2312" w:eastAsia="仿宋_GB2312" w:cs="仿宋_GB2312"/>
          <w:sz w:val="32"/>
          <w:szCs w:val="32"/>
          <w:lang w:val="en" w:eastAsia="zh-CN"/>
        </w:rPr>
        <w:t>3</w:t>
      </w:r>
      <w:r>
        <w:rPr>
          <w:rFonts w:hint="eastAsia" w:ascii="仿宋_GB2312" w:hAnsi="仿宋_GB2312" w:eastAsia="仿宋_GB2312" w:cs="仿宋_GB2312"/>
          <w:sz w:val="32"/>
          <w:szCs w:val="32"/>
          <w:lang w:val="en-US" w:eastAsia="zh-CN"/>
        </w:rPr>
        <w:t>个，涉及预算</w:t>
      </w:r>
      <w:r>
        <w:rPr>
          <w:rFonts w:hint="default" w:ascii="仿宋_GB2312" w:hAnsi="仿宋_GB2312" w:eastAsia="仿宋_GB2312" w:cs="仿宋_GB2312"/>
          <w:sz w:val="32"/>
          <w:szCs w:val="32"/>
          <w:lang w:val="en" w:eastAsia="zh-CN"/>
        </w:rPr>
        <w:t>35.2</w:t>
      </w:r>
      <w:r>
        <w:rPr>
          <w:rFonts w:hint="eastAsia" w:ascii="仿宋_GB2312" w:hAnsi="仿宋_GB2312" w:eastAsia="仿宋_GB2312" w:cs="仿宋_GB2312"/>
          <w:sz w:val="32"/>
          <w:szCs w:val="32"/>
          <w:lang w:val="en-US" w:eastAsia="zh-CN"/>
        </w:rPr>
        <w:t>万元；特定目标类项目</w:t>
      </w:r>
      <w:r>
        <w:rPr>
          <w:rFonts w:hint="default" w:ascii="仿宋_GB2312" w:hAnsi="仿宋_GB2312" w:eastAsia="仿宋_GB2312" w:cs="仿宋_GB2312"/>
          <w:sz w:val="32"/>
          <w:szCs w:val="32"/>
          <w:lang w:val="en" w:eastAsia="zh-CN"/>
        </w:rPr>
        <w:t>3</w:t>
      </w:r>
      <w:r>
        <w:rPr>
          <w:rFonts w:hint="eastAsia" w:ascii="仿宋_GB2312" w:hAnsi="仿宋_GB2312" w:eastAsia="仿宋_GB2312" w:cs="仿宋_GB2312"/>
          <w:sz w:val="32"/>
          <w:szCs w:val="32"/>
          <w:lang w:val="en-US" w:eastAsia="zh-CN"/>
        </w:rPr>
        <w:t>个，涉及预算</w:t>
      </w:r>
      <w:r>
        <w:rPr>
          <w:rFonts w:hint="default" w:ascii="仿宋_GB2312" w:hAnsi="仿宋_GB2312" w:eastAsia="仿宋_GB2312" w:cs="仿宋_GB2312"/>
          <w:sz w:val="32"/>
          <w:szCs w:val="32"/>
          <w:lang w:val="en" w:eastAsia="zh-CN"/>
        </w:rPr>
        <w:t>30.86</w:t>
      </w:r>
      <w:r>
        <w:rPr>
          <w:rFonts w:hint="eastAsia" w:ascii="仿宋_GB2312" w:hAnsi="仿宋_GB2312" w:eastAsia="仿宋_GB2312" w:cs="仿宋_GB2312"/>
          <w:sz w:val="32"/>
          <w:szCs w:val="32"/>
          <w:lang w:val="en-US" w:eastAsia="zh-CN"/>
        </w:rPr>
        <w:t>万元。</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rPr>
      </w:pPr>
      <w:bookmarkStart w:id="21" w:name="_Toc1765441066"/>
      <w:r>
        <w:rPr>
          <w:rFonts w:hint="eastAsia" w:ascii="黑体" w:hAnsi="黑体" w:eastAsia="黑体" w:cs="黑体"/>
          <w:sz w:val="32"/>
          <w:szCs w:val="32"/>
          <w:lang w:val="en-US" w:eastAsia="zh-CN"/>
        </w:rPr>
        <w:t>十一、名词解释</w:t>
      </w:r>
      <w:bookmarkEnd w:id="21"/>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（二）社会保障和就业（类）行政事业单位养老支出（款）机关事业单位基本养老保险缴费支出（项）：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rPr>
      </w:pPr>
      <w:r>
        <w:rPr>
          <w:rFonts w:hint="eastAsia" w:ascii="楷体_GB2312" w:hAnsi="楷体_GB2312" w:eastAsia="楷体_GB2312" w:cs="楷体_GB2312"/>
          <w:color w:val="auto"/>
          <w:sz w:val="32"/>
          <w:szCs w:val="32"/>
          <w:lang w:val="en-US" w:eastAsia="zh-CN"/>
        </w:rPr>
        <w:t>（四）</w:t>
      </w:r>
      <w:r>
        <w:rPr>
          <w:rFonts w:hint="eastAsia" w:ascii="楷体_GB2312" w:hAnsi="楷体_GB2312" w:eastAsia="楷体_GB2312" w:cs="楷体_GB2312"/>
          <w:color w:val="auto"/>
          <w:kern w:val="0"/>
          <w:sz w:val="32"/>
          <w:szCs w:val="32"/>
          <w:shd w:val="clear" w:color="auto" w:fill="FFFFFF"/>
          <w:lang w:bidi="ar"/>
        </w:rPr>
        <w:t>城乡社区支出</w:t>
      </w:r>
      <w:r>
        <w:rPr>
          <w:rFonts w:hint="eastAsia" w:ascii="楷体_GB2312" w:hAnsi="楷体_GB2312" w:eastAsia="楷体_GB2312" w:cs="楷体_GB2312"/>
          <w:color w:val="auto"/>
          <w:sz w:val="32"/>
          <w:szCs w:val="32"/>
          <w:lang w:val="en-US" w:eastAsia="zh-CN"/>
        </w:rPr>
        <w:t>（类）</w:t>
      </w:r>
      <w:r>
        <w:rPr>
          <w:rFonts w:hint="eastAsia" w:ascii="楷体_GB2312" w:hAnsi="楷体_GB2312" w:eastAsia="楷体_GB2312" w:cs="楷体_GB2312"/>
          <w:color w:val="auto"/>
          <w:kern w:val="0"/>
          <w:sz w:val="32"/>
          <w:szCs w:val="32"/>
          <w:shd w:val="clear" w:color="auto" w:fill="FFFFFF"/>
          <w:lang w:bidi="ar"/>
        </w:rPr>
        <w:t>城乡社区管理事务</w:t>
      </w:r>
      <w:r>
        <w:rPr>
          <w:rFonts w:hint="eastAsia" w:ascii="楷体_GB2312" w:hAnsi="楷体_GB2312" w:eastAsia="楷体_GB2312" w:cs="楷体_GB2312"/>
          <w:color w:val="auto"/>
          <w:sz w:val="32"/>
          <w:szCs w:val="32"/>
          <w:lang w:val="en-US" w:eastAsia="zh-CN"/>
        </w:rPr>
        <w:t>（款）工程建设标准规范编制与监管（项）：</w:t>
      </w:r>
      <w:r>
        <w:rPr>
          <w:rFonts w:hint="eastAsia" w:ascii="仿宋_GB2312" w:hAnsi="仿宋_GB2312" w:eastAsia="仿宋_GB2312" w:cs="仿宋_GB2312"/>
          <w:color w:val="auto"/>
          <w:sz w:val="32"/>
          <w:szCs w:val="32"/>
          <w:lang w:val="en-US" w:eastAsia="zh-CN"/>
        </w:rPr>
        <w:t>工程建设国家标准和部管行业标准、监督指导各类工程建设标准定额的实施、管理工程造价等方面的支出。</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（五）住房保障（类）住房改革支出（款）住房公积金（项）：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（六）基本支出：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End w:id="22"/>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附件：广元市城市建设事务中心2024年单位预算公开表</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Borders>
        <w:top w:val="none" w:sz="0" w:space="0"/>
        <w:left w:val="none" w:sz="0" w:space="0"/>
        <w:bottom w:val="none" w:sz="0" w:space="0"/>
        <w:right w:val="none" w:sz="0" w:space="0"/>
      </w:pgBorders>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hgNOOMgIAAGE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6Zv&#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OGA044yAgAAYQQAAA4AAAAAAAAAAQAgAAAA&#10;NQEAAGRycy9lMm9Eb2MueG1sUEsFBgAAAAAGAAYAWQEAANkFA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CzG+uQ3QEAAL4DAAAOAAAAAAAAAAEAIAAAADQBAABkcnMvZTJvRG9jLnhtbFBLBQYAAAAABgAG&#10;AFkBAACDBQ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4FDC51"/>
    <w:multiLevelType w:val="singleLevel"/>
    <w:tmpl w:val="FD4FDC51"/>
    <w:lvl w:ilvl="0" w:tentative="0">
      <w:start w:val="2"/>
      <w:numFmt w:val="chineseCounting"/>
      <w:suff w:val="nothing"/>
      <w:lvlText w:val="（%1）"/>
      <w:lvlJc w:val="left"/>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5MTc1YWUzNDk5OThmNzcwNDRiNmRkMjhiZTRiMmMifQ=="/>
  </w:docVars>
  <w:rsids>
    <w:rsidRoot w:val="00000000"/>
    <w:rsid w:val="012352D1"/>
    <w:rsid w:val="13EF5A62"/>
    <w:rsid w:val="1A7EB4C1"/>
    <w:rsid w:val="1F7BF06F"/>
    <w:rsid w:val="1FAF70E2"/>
    <w:rsid w:val="1FEE4B73"/>
    <w:rsid w:val="23CE9849"/>
    <w:rsid w:val="297E49C3"/>
    <w:rsid w:val="39F304DD"/>
    <w:rsid w:val="3BFBA49C"/>
    <w:rsid w:val="3FDF1711"/>
    <w:rsid w:val="54244390"/>
    <w:rsid w:val="54662A63"/>
    <w:rsid w:val="58064E12"/>
    <w:rsid w:val="5BEF6595"/>
    <w:rsid w:val="5BFEE015"/>
    <w:rsid w:val="5EEBB030"/>
    <w:rsid w:val="63EDCF55"/>
    <w:rsid w:val="63FBFBCF"/>
    <w:rsid w:val="669360FD"/>
    <w:rsid w:val="66EB3F6A"/>
    <w:rsid w:val="68FF6A83"/>
    <w:rsid w:val="6FBBC9CF"/>
    <w:rsid w:val="72BDE561"/>
    <w:rsid w:val="76FF6BF2"/>
    <w:rsid w:val="77E61F52"/>
    <w:rsid w:val="77FEAB8E"/>
    <w:rsid w:val="78462278"/>
    <w:rsid w:val="7997EA6C"/>
    <w:rsid w:val="7AEAE675"/>
    <w:rsid w:val="7BAFCE5D"/>
    <w:rsid w:val="7CFF8E1E"/>
    <w:rsid w:val="7D46598C"/>
    <w:rsid w:val="7DFB240B"/>
    <w:rsid w:val="7E0935ED"/>
    <w:rsid w:val="7ED962CD"/>
    <w:rsid w:val="7F7F4D7C"/>
    <w:rsid w:val="7FCF2AF7"/>
    <w:rsid w:val="7FFFC425"/>
    <w:rsid w:val="9DFAEE03"/>
    <w:rsid w:val="9FEF033D"/>
    <w:rsid w:val="A27FF1E5"/>
    <w:rsid w:val="AFDEB5A7"/>
    <w:rsid w:val="AFEA7FBF"/>
    <w:rsid w:val="B83F4767"/>
    <w:rsid w:val="BEFBC33E"/>
    <w:rsid w:val="BF930F07"/>
    <w:rsid w:val="BFCE8436"/>
    <w:rsid w:val="C3F7EB7A"/>
    <w:rsid w:val="CFF5FEEC"/>
    <w:rsid w:val="D3DD9064"/>
    <w:rsid w:val="D6F76A0C"/>
    <w:rsid w:val="D7ECE8D2"/>
    <w:rsid w:val="DD86AFA4"/>
    <w:rsid w:val="DDFE93AE"/>
    <w:rsid w:val="DFDD4FB5"/>
    <w:rsid w:val="E7F748B5"/>
    <w:rsid w:val="EE5F3713"/>
    <w:rsid w:val="EFC9D62C"/>
    <w:rsid w:val="F6BE9755"/>
    <w:rsid w:val="F6FFA89B"/>
    <w:rsid w:val="FAE4EFE1"/>
    <w:rsid w:val="FB9B6F12"/>
    <w:rsid w:val="FBB66A4A"/>
    <w:rsid w:val="FDEE6989"/>
    <w:rsid w:val="FF5E7DB8"/>
    <w:rsid w:val="FF77E367"/>
    <w:rsid w:val="FFAF1BD3"/>
    <w:rsid w:val="FFD576EB"/>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before="0" w:after="140" w:line="276" w:lineRule="auto"/>
    </w:pPr>
  </w:style>
  <w:style w:type="paragraph" w:styleId="3">
    <w:name w:val="toc 5"/>
    <w:basedOn w:val="1"/>
    <w:next w:val="1"/>
    <w:unhideWhenUsed/>
    <w:qFormat/>
    <w:uiPriority w:val="39"/>
    <w:pPr>
      <w:spacing w:before="100" w:beforeAutospacing="1" w:after="100" w:afterAutospacing="1"/>
      <w:ind w:left="1680"/>
    </w:pPr>
  </w:style>
  <w:style w:type="paragraph" w:styleId="4">
    <w:name w:val="caption"/>
    <w:basedOn w:val="1"/>
    <w:next w:val="1"/>
    <w:qFormat/>
    <w:uiPriority w:val="0"/>
    <w:pPr>
      <w:widowControl w:val="0"/>
      <w:suppressLineNumbers/>
      <w:suppressAutoHyphens/>
      <w:spacing w:before="120" w:after="120"/>
    </w:pPr>
    <w:rPr>
      <w:i/>
      <w:iCs/>
      <w:sz w:val="24"/>
      <w:szCs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2"/>
    <w:qFormat/>
    <w:uiPriority w:val="0"/>
  </w:style>
  <w:style w:type="paragraph" w:styleId="8">
    <w:name w:val="Normal (Web)"/>
    <w:basedOn w:val="1"/>
    <w:qFormat/>
    <w:uiPriority w:val="0"/>
    <w:rPr>
      <w:sz w:val="24"/>
    </w:rPr>
  </w:style>
  <w:style w:type="character" w:customStyle="1" w:styleId="11">
    <w:name w:val="默认段落字体1"/>
    <w:qFormat/>
    <w:uiPriority w:val="0"/>
  </w:style>
  <w:style w:type="paragraph" w:customStyle="1" w:styleId="12">
    <w:name w:val="Heading"/>
    <w:basedOn w:val="1"/>
    <w:next w:val="2"/>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Lines>1</Lines>
  <Paragraphs>1</Paragraphs>
  <TotalTime>22</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2018-12-02T09:47:00Z</dcterms:created>
  <dc:creator>admin</dc:creator>
  <cp:lastModifiedBy> </cp:lastModifiedBy>
  <dcterms:modified xsi:type="dcterms:W3CDTF">2024-02-28T11:02:06Z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