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广元市中医医院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56418"/>
        <w15:color w:val="DBDBDB"/>
        <w:docPartObj>
          <w:docPartGallery w:val="Table of Contents"/>
          <w:docPartUnique/>
        </w:docPartObj>
      </w:sdtPr>
      <w:sdtEndPr>
        <w:rPr>
          <w:rFonts w:hint="eastAsia" w:ascii="仿宋" w:hAnsi="仿宋" w:eastAsia="仿宋" w:cs="仿宋"/>
          <w:b/>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7"/>
            <w:tabs>
              <w:tab w:val="right" w:leader="dot" w:pos="8845"/>
            </w:tabs>
            <w:spacing w:line="360" w:lineRule="auto"/>
          </w:pP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TOC \o "1-2" \h \u </w:instrText>
          </w:r>
          <w:r>
            <w:rPr>
              <w:rFonts w:hint="eastAsia" w:ascii="仿宋" w:hAnsi="仿宋" w:eastAsia="仿宋" w:cs="仿宋"/>
              <w:sz w:val="24"/>
              <w:szCs w:val="24"/>
              <w:lang w:val="en-US" w:eastAsia="zh-CN"/>
            </w:rPr>
            <w:fldChar w:fldCharType="separate"/>
          </w: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_Toc628305169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_Toc628305169 \h </w:instrText>
          </w:r>
          <w:r>
            <w:fldChar w:fldCharType="separate"/>
          </w:r>
          <w:r>
            <w:t>1</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_Toc684749216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广元市中医医院</w:t>
          </w:r>
          <w:r>
            <w:rPr>
              <w:rFonts w:hint="eastAsia" w:ascii="楷体_GB2312" w:hAnsi="楷体_GB2312" w:eastAsia="楷体_GB2312" w:cs="楷体_GB2312"/>
              <w:szCs w:val="32"/>
            </w:rPr>
            <w:t>职能简介</w:t>
          </w:r>
          <w:r>
            <w:tab/>
          </w:r>
          <w:r>
            <w:fldChar w:fldCharType="begin"/>
          </w:r>
          <w:r>
            <w:instrText xml:space="preserve"> PAGEREF _Toc684749216 \h </w:instrText>
          </w:r>
          <w:r>
            <w:fldChar w:fldCharType="separate"/>
          </w:r>
          <w:r>
            <w:t>1</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_Toc1322575375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广元市中医医院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_Toc1322575375 \h </w:instrText>
          </w:r>
          <w:r>
            <w:fldChar w:fldCharType="separate"/>
          </w:r>
          <w:r>
            <w:t>1</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_Toc1661461865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二、预算单位构成</w:t>
          </w:r>
          <w:r>
            <w:tab/>
          </w:r>
          <w:r>
            <w:fldChar w:fldCharType="begin"/>
          </w:r>
          <w:r>
            <w:instrText xml:space="preserve"> PAGEREF _Toc1661461865 \h </w:instrText>
          </w:r>
          <w:r>
            <w:fldChar w:fldCharType="separate"/>
          </w:r>
          <w:r>
            <w:t>7</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_Toc479393427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_Toc479393427 \h </w:instrText>
          </w:r>
          <w:r>
            <w:fldChar w:fldCharType="separate"/>
          </w:r>
          <w:r>
            <w:t>7</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_Toc99124070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_Toc99124070 \h </w:instrText>
          </w:r>
          <w:r>
            <w:fldChar w:fldCharType="separate"/>
          </w:r>
          <w:r>
            <w:t>7</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_Toc1214737807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_Toc1214737807 \h </w:instrText>
          </w:r>
          <w:r>
            <w:fldChar w:fldCharType="separate"/>
          </w:r>
          <w:r>
            <w:t>7</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_Toc243294500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_Toc243294500 \h </w:instrText>
          </w:r>
          <w:r>
            <w:fldChar w:fldCharType="separate"/>
          </w:r>
          <w:r>
            <w:t>7</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_Toc1198804805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_Toc1198804805 \h </w:instrText>
          </w:r>
          <w:r>
            <w:fldChar w:fldCharType="separate"/>
          </w:r>
          <w:r>
            <w:t>8</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_Toc1430187009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_Toc1430187009 \h </w:instrText>
          </w:r>
          <w:r>
            <w:fldChar w:fldCharType="separate"/>
          </w:r>
          <w:r>
            <w:t>8</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_Toc1278364762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_Toc1278364762 \h </w:instrText>
          </w:r>
          <w:r>
            <w:fldChar w:fldCharType="separate"/>
          </w:r>
          <w:r>
            <w:t>8</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_Toc987677919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_Toc987677919 \h </w:instrText>
          </w:r>
          <w:r>
            <w:fldChar w:fldCharType="separate"/>
          </w:r>
          <w:r>
            <w:t>8</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_Toc2086198797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_Toc2086198797 \h </w:instrText>
          </w:r>
          <w:r>
            <w:fldChar w:fldCharType="separate"/>
          </w:r>
          <w:r>
            <w:t>8</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_Toc1292734467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_Toc1292734467 \h </w:instrText>
          </w:r>
          <w:r>
            <w:fldChar w:fldCharType="separate"/>
          </w:r>
          <w:r>
            <w:t>8</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_Toc251471067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_Toc251471067 \h </w:instrText>
          </w:r>
          <w:r>
            <w:fldChar w:fldCharType="separate"/>
          </w:r>
          <w:r>
            <w:t>9</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_Toc1232448439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_Toc1232448439 \h </w:instrText>
          </w:r>
          <w:r>
            <w:fldChar w:fldCharType="separate"/>
          </w:r>
          <w:r>
            <w:t>9</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_Toc1554603300 </w:instrText>
          </w:r>
          <w:r>
            <w:rPr>
              <w:rFonts w:hint="eastAsia" w:ascii="仿宋" w:hAnsi="仿宋" w:eastAsia="仿宋" w:cs="仿宋"/>
              <w:szCs w:val="24"/>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_Toc1554603300 \h </w:instrText>
          </w:r>
          <w:r>
            <w:fldChar w:fldCharType="separate"/>
          </w:r>
          <w:r>
            <w:t>9</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_Toc1328724102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_Toc1328724102 \h </w:instrText>
          </w:r>
          <w:r>
            <w:fldChar w:fldCharType="separate"/>
          </w:r>
          <w:r>
            <w:t>9</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_Toc1677725191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_Toc1677725191 \h </w:instrText>
          </w:r>
          <w:r>
            <w:fldChar w:fldCharType="separate"/>
          </w:r>
          <w:r>
            <w:t>9</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_Toc423165436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_Toc423165436 \h </w:instrText>
          </w:r>
          <w:r>
            <w:fldChar w:fldCharType="separate"/>
          </w:r>
          <w:r>
            <w:t>9</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_Toc1675167942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_Toc1675167942 \h </w:instrText>
          </w:r>
          <w:r>
            <w:fldChar w:fldCharType="separate"/>
          </w:r>
          <w:r>
            <w:t>9</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_Toc590914136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_Toc590914136 \h </w:instrText>
          </w:r>
          <w:r>
            <w:fldChar w:fldCharType="separate"/>
          </w:r>
          <w:r>
            <w:t>10</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_Toc1304756192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_Toc1304756192 \h </w:instrText>
          </w:r>
          <w:r>
            <w:fldChar w:fldCharType="separate"/>
          </w:r>
          <w:r>
            <w:t>10</w:t>
          </w:r>
          <w:r>
            <w:fldChar w:fldCharType="end"/>
          </w:r>
          <w:r>
            <w:rPr>
              <w:rFonts w:hint="eastAsia" w:ascii="仿宋" w:hAnsi="仿宋" w:eastAsia="仿宋" w:cs="仿宋"/>
              <w:szCs w:val="24"/>
              <w:lang w:val="en-US" w:eastAsia="zh-CN"/>
            </w:rPr>
            <w:fldChar w:fldCharType="end"/>
          </w:r>
        </w:p>
        <w:p>
          <w:pPr>
            <w:pStyle w:val="9"/>
            <w:tabs>
              <w:tab w:val="right" w:leader="dot" w:pos="8845"/>
            </w:tabs>
            <w:spacing w:line="360" w:lineRule="auto"/>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_Toc305853323 </w:instrText>
          </w:r>
          <w:r>
            <w:rPr>
              <w:rFonts w:hint="eastAsia" w:ascii="仿宋" w:hAnsi="仿宋" w:eastAsia="仿宋" w:cs="仿宋"/>
              <w:szCs w:val="24"/>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_Toc305853323 \h </w:instrText>
          </w:r>
          <w:r>
            <w:fldChar w:fldCharType="separate"/>
          </w:r>
          <w:r>
            <w:t>10</w:t>
          </w:r>
          <w:r>
            <w:fldChar w:fldCharType="end"/>
          </w:r>
          <w:r>
            <w:rPr>
              <w:rFonts w:hint="eastAsia" w:ascii="仿宋" w:hAnsi="仿宋" w:eastAsia="仿宋" w:cs="仿宋"/>
              <w:szCs w:val="24"/>
              <w:lang w:val="en-US" w:eastAsia="zh-CN"/>
            </w:rPr>
            <w:fldChar w:fldCharType="end"/>
          </w:r>
        </w:p>
        <w:p>
          <w:pPr>
            <w:pStyle w:val="7"/>
            <w:tabs>
              <w:tab w:val="right" w:leader="dot" w:pos="8845"/>
            </w:tabs>
            <w:spacing w:line="360" w:lineRule="auto"/>
            <w:rPr>
              <w:rFonts w:hint="eastAsia" w:ascii="仿宋" w:hAnsi="仿宋" w:eastAsia="仿宋" w:cs="仿宋"/>
              <w:sz w:val="32"/>
              <w:szCs w:val="32"/>
              <w:lang w:val="en-US" w:eastAsia="zh-CN"/>
            </w:rPr>
            <w:sectPr>
              <w:pgSz w:w="11906" w:h="16838"/>
              <w:pgMar w:top="2098" w:right="1474" w:bottom="1984" w:left="1587" w:header="720" w:footer="1559" w:gutter="0"/>
              <w:pgNumType w:fmt="decimal" w:start="1"/>
              <w:cols w:space="720" w:num="1"/>
              <w:docGrid w:type="lines" w:linePitch="312" w:charSpace="0"/>
            </w:sectPr>
          </w:pPr>
          <w:r>
            <w:rPr>
              <w:rFonts w:hint="eastAsia" w:ascii="仿宋" w:hAnsi="仿宋" w:eastAsia="仿宋" w:cs="仿宋"/>
              <w:szCs w:val="24"/>
              <w:lang w:val="en-US" w:eastAsia="zh-CN"/>
            </w:rPr>
            <w:fldChar w:fldCharType="begin"/>
          </w:r>
          <w:r>
            <w:rPr>
              <w:rFonts w:hint="eastAsia" w:ascii="仿宋" w:hAnsi="仿宋" w:eastAsia="仿宋" w:cs="仿宋"/>
              <w:szCs w:val="24"/>
              <w:lang w:val="en-US" w:eastAsia="zh-CN"/>
            </w:rPr>
            <w:instrText xml:space="preserve"> HYPERLINK \l _Toc844434232 </w:instrText>
          </w:r>
          <w:r>
            <w:rPr>
              <w:rFonts w:hint="eastAsia" w:ascii="仿宋" w:hAnsi="仿宋" w:eastAsia="仿宋" w:cs="仿宋"/>
              <w:szCs w:val="24"/>
              <w:lang w:val="en-US" w:eastAsia="zh-CN"/>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_Toc844434232 \h </w:instrText>
          </w:r>
          <w:r>
            <w:fldChar w:fldCharType="separate"/>
          </w:r>
          <w:r>
            <w:t>10</w:t>
          </w:r>
          <w:r>
            <w:fldChar w:fldCharType="end"/>
          </w:r>
          <w:r>
            <w:rPr>
              <w:rFonts w:hint="eastAsia" w:ascii="仿宋" w:hAnsi="仿宋" w:eastAsia="仿宋" w:cs="仿宋"/>
              <w:szCs w:val="24"/>
              <w:lang w:val="en-US" w:eastAsia="zh-CN"/>
            </w:rPr>
            <w:fldChar w:fldCharType="end"/>
          </w:r>
          <w:r>
            <w:rPr>
              <w:rFonts w:hint="eastAsia" w:ascii="仿宋" w:hAnsi="仿宋" w:eastAsia="仿宋" w:cs="仿宋"/>
              <w:szCs w:val="24"/>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628305169"/>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68474921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广元市中医医院</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（1）为人民群众提供医疗、预防、保健、计划生育、康复等医疗卫生服务。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（2）贯彻落实医药卫生体制改革、中西医并重方针和国家中医药法律法规，执行中医药政策；参与拟定实施全市中医药和中西医结合发展战略、规划；指导全市各医疗机构发展中医药和中西医结合业务。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（3）满足群众医疗健康需求，建立与地方经济发展相适应的医疗环境。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（4）承担意外灾害事故、疫情等突发公共卫生事件的医疗急救及社区预防、保健和康复医疗服务工作，开展各种医疗保健卫生知识宣传普及。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（5）充分发挥中医药在国家基本公共卫生服务中的优势和作用，组织实施中西医药科学研究，推进医学科技成果转化和推广应用；承担中医药人才培养，中医药继续教育工作。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（6）参与城镇职工基本医疗保险、城乡居民基本医疗保险、异地医保等定点医疗机构的各项工作。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（7）参与卫生扶贫、重要会议与重大活动的医疗卫生保障工作。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（8）承担上级部门交办的其他卫生工作。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32257537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广元市中医医院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以新思想作为行动指南，高站位构建发展新格局</w:t>
      </w:r>
      <w:r>
        <w:rPr>
          <w:rFonts w:hint="eastAsia" w:ascii="仿宋" w:hAnsi="仿宋" w:eastAsia="仿宋" w:cs="仿宋"/>
          <w:b/>
          <w:bCs/>
          <w:sz w:val="32"/>
          <w:szCs w:val="32"/>
          <w:lang w:eastAsia="zh-CN"/>
        </w:rPr>
        <w:t>。</w:t>
      </w:r>
      <w:r>
        <w:rPr>
          <w:rFonts w:hint="eastAsia" w:ascii="仿宋" w:hAnsi="仿宋" w:eastAsia="仿宋" w:cs="仿宋"/>
          <w:sz w:val="32"/>
          <w:szCs w:val="32"/>
        </w:rPr>
        <w:t>坚定不移以习近平新时代中国特色社会主义思想凝心铸魂，深入学习贯彻党的二十大精神、习近平总书记来川来广视察重要指示精神和省委市委全会精神，深刻理解“两个确立”的决定性意义，树牢“四个意识”，增强“四个自信”，做到“两个维护”，在政治上思想上行动上始终与党中央保持高度一致。认真落实市委“1345”发展战略，抓紧抓实健康守护工程。立足新发展阶段、树牢新发展理念、构建新发展格局。以中医“国考”为导向，以公立医院薪酬绩效改革为牵引，以目标化、规范化、精准化绩效考核为动力，加快落实“十四五”规划确立的各项任务，高水平建设医、教、研、防、养五大中心，推进省级区域医疗中心建设迈上新高度、新台阶。</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强化党建引领激励担当，高标准打造行业新标杆</w:t>
      </w:r>
      <w:r>
        <w:rPr>
          <w:rFonts w:hint="eastAsia" w:ascii="仿宋" w:hAnsi="仿宋" w:eastAsia="仿宋" w:cs="仿宋"/>
          <w:b/>
          <w:bCs/>
          <w:sz w:val="32"/>
          <w:szCs w:val="32"/>
          <w:lang w:eastAsia="zh-CN"/>
        </w:rPr>
        <w:t>。</w:t>
      </w:r>
      <w:r>
        <w:rPr>
          <w:rFonts w:hint="eastAsia" w:ascii="仿宋" w:hAnsi="仿宋" w:eastAsia="仿宋" w:cs="仿宋"/>
          <w:sz w:val="32"/>
          <w:szCs w:val="32"/>
        </w:rPr>
        <w:t>持续加强公立医院党的建设，深入贯彻落实党委领导下的院长负责制，压实党建“三级五岗”责任，把党的领导、党的建设融入管理治理全过程各环节。对各党总支、党支部进行优化调整，选优配强党务干部。聚焦医院“仁和精诚耀初心”党建品牌，创新实施“一支部一品牌”行动，持续加强支部标准化规范化建设、党建阵地、党建文化建设，突出政治功能，完善支部参与科室业务、科研、教学等重大问题决策机制，以党的建设引领推进业务工作，做好组织、宣传、凝聚、服务群众工作。以4个省市级标杆党支部为引领，推动各支部创先争优、进位升级，打造一批政治硬、业务精、服务优、品牌响的品牌矩阵，突出党建示范医院影响力；在医疗、护理、医技、管理上的优秀人才，要抓好“双培”“双带”，在入党、提干、进修、职称晋升、挂职锻炼、荣誉推荐、名医塑造等方面优先考虑，优化干部年龄结构，建设优秀团队。对45岁以下、有培养潜质的高职称、高学历人才，实行院级领导直接联系掌握，进行“点对点”培养。积极招引硕士、博士高层次人才。探索“组团式”模式，抓好院士、国医大师、岐黄学者等“柔性引才”。聚力赋能高质量发展，建设省级区域医疗中心党建、人才新标杆、新高地。</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聚焦区域医疗中心建设，高质量助推业务新跨越</w:t>
      </w:r>
      <w:r>
        <w:rPr>
          <w:rFonts w:hint="eastAsia" w:ascii="仿宋" w:hAnsi="仿宋" w:eastAsia="仿宋" w:cs="仿宋"/>
          <w:b/>
          <w:bCs/>
          <w:sz w:val="32"/>
          <w:szCs w:val="32"/>
          <w:lang w:eastAsia="zh-CN"/>
        </w:rPr>
        <w:t>。</w:t>
      </w:r>
      <w:r>
        <w:rPr>
          <w:rFonts w:hint="eastAsia" w:ascii="仿宋" w:hAnsi="仿宋" w:eastAsia="仿宋" w:cs="仿宋"/>
          <w:sz w:val="32"/>
          <w:szCs w:val="32"/>
        </w:rPr>
        <w:t>建设省区域医疗中心是压倒一切的中心工作，是一切工作的重中之重。必须集中力量抓高精尖医疗技术，强特色优势和专科品牌，突出区域引领地位。一是突出医疗质量和医疗安全。在抓好三甲复评反馈问题整改的同时，要下大力气抓医疗质量、病历内涵、手术安全、就医体验三年提升行动，认真落实18项核心制度和中医临床指南、规范、流程，重点抓好全面提升医疗质量行动19项指标、改善医疗服务提升患者体验28项指标、公立中医医院高质量发展24项指标，并逐步引入和强化西医质控体系，推进医疗质量同质化，加强应急能力一体化，构建良好的医疗质量安全生态系统。二是推进专学科建设升级上档。持续加强胸痛中心、卒中中心、介入中心、血液净化中心、眩晕中心、创伤中心、VTE防治中心、UBE治疗中心建设，推进医疗业务更加专业化、微创化、精准化、复合化。加大胸痛中心建设力度，扎实准备中西医结合妇科、脾胃病科验收评审工作，加快急诊、耳鼻喉、重症医学、儿科、呼吸与危重医学科、肿瘤科、神经内科、心病、肾病等省市级重点专科建设步伐，做强做优骨科、康复科“广元十大精品专科”，积极培育、推荐、建设一批“国家中医临床优势专科”、省市级重点专科、精品专科，推进优势专科集群化发展。三是做大做强中医特色优势品牌。将河街门诊打造纳入年度重点工作，让社区居民在家门口感受中医药独特魅力。继续加大对85项中医适宜技术、72个院内制剂的宣传推广运用力度，大力发展“治未病”工作，结合时令节气加强膏方临方制剂研发，“研产销宣”一体化推进，力争制剂销量突破800万元，全力做好制剂中心创建“省级区域中药制剂中心”工作。四是坚持为我所用借力发展。抢抓九广、杭广、渝广合作机遇，深化与北京西苑医院、杭州市中医院等战略合作和成都中医药大学等院校合作，聚智聚力，为我所用，促进发展。五是做强医养结合，争创国家级医养结合示范中心。六是引领带动域内中医事业发展。充分发挥10个中医、4个西医质控中心作用，加强指导和质量控制，积极申报心病、肺病、脑病、老年病、儿科等6个专业为市第二批中医质控中心。巩固深化拓展“医联体”建设成果，加强对基层医院帮扶对接，并重点抓好青川县、利州区、朝天区42个乡镇卫生院中医强基层“百千万”行动，突出区域中医龙头的引领地位。</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、深化科研教学学术建设，高品位激活发展新动能</w:t>
      </w:r>
      <w:r>
        <w:rPr>
          <w:rFonts w:hint="eastAsia" w:ascii="仿宋" w:hAnsi="仿宋" w:eastAsia="仿宋" w:cs="仿宋"/>
          <w:b/>
          <w:bCs/>
          <w:sz w:val="32"/>
          <w:szCs w:val="32"/>
          <w:lang w:eastAsia="zh-CN"/>
        </w:rPr>
        <w:t>。</w:t>
      </w:r>
      <w:r>
        <w:rPr>
          <w:rFonts w:hint="eastAsia" w:ascii="仿宋" w:hAnsi="仿宋" w:eastAsia="仿宋" w:cs="仿宋"/>
          <w:sz w:val="32"/>
          <w:szCs w:val="32"/>
        </w:rPr>
        <w:t>进一步完善科研工作奖惩激励机制，加强与高等院校、科研院所合作，对高职称、高学历人才压担子，在抓好现有课题基础上，要重点借力成都中医药大学附属医院平台，大力开展院校联合创新基金项目，申报更多高层次科研课题，提升科研层次，力争有3至5个省级以上科研项目批准立项；做好国家药物临床试验(GCP) 中心建设和省级区域高水平科研平台建设；规范建设教学实训中心，完善配套设施，提升教学能力。重点抓好国家级中医住院医师规范化培训基地、成都中医药大学专硕培养基地建设，做好基层进修生、高校实习生服务工作；积极申报开展国家省市级中医药继续医学教育项目，浓厚学术氛围；抓好核心期刊和SCI高层次论文发表，鼓励更多学术人员“走出去”，深化交流合作，传播学术思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、下大力气加快基本建设，高起点抢抓发展新机遇</w:t>
      </w:r>
      <w:r>
        <w:rPr>
          <w:rFonts w:hint="eastAsia" w:ascii="仿宋" w:hAnsi="仿宋" w:eastAsia="仿宋" w:cs="仿宋"/>
          <w:b/>
          <w:bCs/>
          <w:sz w:val="32"/>
          <w:szCs w:val="32"/>
          <w:lang w:eastAsia="zh-CN"/>
        </w:rPr>
        <w:t>。</w:t>
      </w:r>
      <w:r>
        <w:rPr>
          <w:rFonts w:hint="eastAsia" w:ascii="仿宋" w:hAnsi="仿宋" w:eastAsia="仿宋" w:cs="仿宋"/>
          <w:sz w:val="32"/>
          <w:szCs w:val="32"/>
        </w:rPr>
        <w:t>加紧加快门诊住院综合大楼建设，优化施工方案，实行倒排工期，压茬推进水、电、消防、物流等安装工程、设备设施安装调试和室内外装饰装修等工程，确保工程年内项目竣工，为投入使用做好充分准备。要针对医院未来在人流、物流、车流方面的组织便利，以及周边老旧小区、老旧建筑等环境可能出现的情势变化，对连接南北院区空中广场设计进行深度优化，提早布局解决“停车难”问题。积极争取老进修校土地，为长远发展预留拓展空间。在项目方面，要建立健全资金使用、检查督导、绩效评价和追责问责机制。跟踪好已申报项目，并落实专人，压实专责，专班专人跑项目，积极包装谋划一批中长期项目，努力争取省级区域制剂中心等项目，抢抓发展新机遇。</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、驰而不息全面从严治党，高规格培树清廉新风尚</w:t>
      </w:r>
      <w:r>
        <w:rPr>
          <w:rFonts w:hint="eastAsia" w:ascii="仿宋" w:hAnsi="仿宋" w:eastAsia="仿宋" w:cs="仿宋"/>
          <w:b/>
          <w:bCs/>
          <w:sz w:val="32"/>
          <w:szCs w:val="32"/>
          <w:lang w:eastAsia="zh-CN"/>
        </w:rPr>
        <w:t>。</w:t>
      </w:r>
      <w:r>
        <w:rPr>
          <w:rFonts w:hint="eastAsia" w:ascii="仿宋" w:hAnsi="仿宋" w:eastAsia="仿宋" w:cs="仿宋"/>
          <w:sz w:val="32"/>
          <w:szCs w:val="32"/>
        </w:rPr>
        <w:t>始终保持党风廉政建设永远在路上、纪律作风建设永远在路上的清醒和坚定，从教育、制度、监督等多管齐下，建设清廉医院。细化“三张清单”，深化“四责协同”，完善履责、督责、考责、问责机制，督促各层级严于律己、严负其责、严管所辖。持续抓好医药领域腐败问题集中整治，严格落实医疗机构工作人员廉洁从业九项准则。持续筑牢四级网格化监督体系，把日常监督做细做实，使监督常在、形成常态。抓紧抓实纪律作风建设三年提升行动，聚焦站位不高、推诿扯皮、工作漂浮、责任心不强、纪律不严这五个方面，锲而不舍纠“四风”。积极做好国家大型医院巡查各项准备工作。深入扎实抓巡察反馈问题整改，紧紧按照四个聚焦方面的15个问题、34个具体表现，以问题为导向，深刻反思，认真剖析，找准症结，按照问题清单、任务清单、责任清单，从严从实从细抓整改、建制度、严机制，把整改的成效转化为改进工作的强大动力，转化为推进高质量发展的实际行动，以清廉医院好生态，助推各项事业大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楷体_GB2312" w:hAnsi="楷体_GB2312" w:eastAsia="楷体_GB2312" w:cs="楷体_GB2312"/>
          <w:sz w:val="32"/>
          <w:szCs w:val="32"/>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持续加强精神文明建设，高标准树牢行业新形象</w:t>
      </w:r>
      <w:r>
        <w:rPr>
          <w:rFonts w:hint="eastAsia" w:ascii="仿宋" w:hAnsi="仿宋" w:eastAsia="仿宋" w:cs="仿宋"/>
          <w:b/>
          <w:bCs/>
          <w:sz w:val="32"/>
          <w:szCs w:val="32"/>
          <w:lang w:eastAsia="zh-CN"/>
        </w:rPr>
        <w:t>。</w:t>
      </w:r>
      <w:r>
        <w:rPr>
          <w:rFonts w:hint="eastAsia" w:ascii="仿宋" w:hAnsi="仿宋" w:eastAsia="仿宋" w:cs="仿宋"/>
          <w:sz w:val="32"/>
          <w:szCs w:val="32"/>
        </w:rPr>
        <w:t>精神文明建设是一项铸魂工程，也是引领高质量发展的精神动力。要持续深入抓好行政效能、医德医风、医院文化建设、安全生产、普法、维稳、环境保护、扫黑除恶治乱、乡村振兴、对口支援、全国文明城市创建、民族团结进步示范市创建、“双拥”等各项工作，开展形式多样的技能竞赛、才艺展示、文体活动，激发活力聚合力，展示医院发展的新成就、新形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661461865"/>
      <w:r>
        <w:rPr>
          <w:rFonts w:hint="eastAsia" w:ascii="黑体" w:hAnsi="黑体" w:eastAsia="黑体" w:cs="黑体"/>
          <w:sz w:val="32"/>
          <w:szCs w:val="32"/>
          <w:lang w:val="en-US" w:eastAsia="zh-CN"/>
        </w:rPr>
        <w:t>二、预算单位构成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w:t>
      </w:r>
      <w:r>
        <w:rPr>
          <w:rFonts w:hint="eastAsia" w:ascii="仿宋_GB2312" w:hAnsi="仿宋_GB2312" w:eastAsia="仿宋_GB2312" w:cs="仿宋_GB2312"/>
          <w:sz w:val="32"/>
          <w:szCs w:val="32"/>
          <w:highlight w:val="none"/>
          <w:lang w:val="en-US" w:eastAsia="zh-CN"/>
        </w:rPr>
        <w:t>无下属机构，内设机构59个。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479393427"/>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中医医院所有收入和支出均纳入部门预算管理。收入包括：一般公共预算拨款收入、事业收入、其他收入；支出包括：社会保障和就业支出、卫生健康支出、住房保障支出。广元市中医医院2024年收支预算总数76427.95万元,比2023年收支预算总数增加16699.66万元，主要原因是</w:t>
      </w:r>
      <w:r>
        <w:rPr>
          <w:rFonts w:hint="eastAsia" w:ascii="仿宋_GB2312" w:eastAsia="仿宋_GB2312"/>
          <w:sz w:val="32"/>
          <w:szCs w:val="32"/>
          <w:lang w:val="en-US" w:eastAsia="zh-CN"/>
        </w:rPr>
        <w:t>医院规模扩大，事业收入随之增长。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99124070"/>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广元市中医医院2024年收入预算76427.95万元，其中：一般公共预算拨款收入303.64万元，占0.40%；事业收入61031.83万元，占79.86%；其他收入15092.48万元，占19.74%。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214737807"/>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广元市中医医院2024年支出预算76427.95万元，其中：基本支出25014.01万元，占32.73%；项目支出51413.94万元，占67.27%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43294500"/>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广元市中医医院2024年财政拨款收支预算总数303.64万元,与2023年财政拨款收支预算总数持平。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收入包括：本年一般公共预算拨款收入303.64万元；支出包括：卫生健康支出303.64万元。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198804805"/>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430187009"/>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广元市中医医院2024年一般公共预算当年拨款303.64万元，与2023年预算数持平。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278364762"/>
      <w:r>
        <w:rPr>
          <w:rFonts w:hint="eastAsia" w:ascii="楷体_GB2312" w:hAnsi="楷体_GB2312" w:eastAsia="楷体_GB2312" w:cs="楷体_GB2312"/>
          <w:sz w:val="32"/>
          <w:szCs w:val="32"/>
          <w:lang w:val="en-US" w:eastAsia="zh-CN"/>
        </w:rPr>
        <w:t>（二）一般公共预算当年拨款结构情况</w:t>
      </w:r>
      <w:bookmarkEnd w:id="10"/>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卫生健康支出303.64万元，占100.00%</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987677919"/>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rPr>
        <w:t>卫生健康支出（类）公立医院（款）中医（民族）医院（项）</w:t>
      </w:r>
      <w:r>
        <w:rPr>
          <w:rFonts w:hint="eastAsia" w:ascii="仿宋_GB2312" w:eastAsia="仿宋_GB2312"/>
          <w:sz w:val="32"/>
          <w:szCs w:val="32"/>
        </w:rPr>
        <w:t>2023年预算数为30</w:t>
      </w:r>
      <w:r>
        <w:rPr>
          <w:rFonts w:hint="eastAsia" w:ascii="仿宋_GB2312" w:eastAsia="仿宋_GB2312"/>
          <w:sz w:val="32"/>
          <w:szCs w:val="32"/>
          <w:lang w:val="en-US" w:eastAsia="zh-CN"/>
        </w:rPr>
        <w:t>3.64</w:t>
      </w:r>
      <w:r>
        <w:rPr>
          <w:rFonts w:hint="eastAsia" w:ascii="仿宋_GB2312" w:eastAsia="仿宋_GB2312"/>
          <w:sz w:val="32"/>
          <w:szCs w:val="32"/>
        </w:rPr>
        <w:t>万元，主要用于</w:t>
      </w:r>
      <w:r>
        <w:rPr>
          <w:rFonts w:hint="default" w:ascii="仿宋_GB2312" w:eastAsia="仿宋_GB2312"/>
          <w:sz w:val="32"/>
          <w:szCs w:val="32"/>
        </w:rPr>
        <w:t>：</w:t>
      </w:r>
      <w:r>
        <w:rPr>
          <w:rFonts w:ascii="仿宋_GB2312" w:eastAsia="仿宋_GB2312"/>
          <w:sz w:val="32"/>
          <w:szCs w:val="32"/>
        </w:rPr>
        <w:t>卫生健康、中医部门所属的中医院、中西医结合医院、民族医院的支出</w:t>
      </w:r>
      <w:r>
        <w:rPr>
          <w:rFonts w:hint="eastAsia" w:ascii="仿宋_GB2312" w:eastAsia="仿宋_GB2312"/>
          <w:sz w:val="32"/>
          <w:szCs w:val="32"/>
        </w:rPr>
        <w:t>，</w:t>
      </w:r>
      <w:r>
        <w:rPr>
          <w:rFonts w:hint="eastAsia" w:ascii="仿宋_GB2312" w:eastAsia="仿宋_GB2312"/>
          <w:sz w:val="32"/>
          <w:szCs w:val="32"/>
          <w:lang w:val="en-US" w:eastAsia="zh-CN"/>
        </w:rPr>
        <w:t>其中人员支出300.00万元，占98.80%，项目支出3.64万元，占1.20%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086198797"/>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广元市中医医院2024年一般公共预算基本支出300.00万元，</w:t>
      </w:r>
      <w:r>
        <w:rPr>
          <w:rFonts w:hint="eastAsia" w:ascii="仿宋_GB2312" w:eastAsia="仿宋_GB2312"/>
          <w:sz w:val="32"/>
          <w:szCs w:val="32"/>
        </w:rPr>
        <w:t>全部为人员经费</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292734467"/>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广元市中医医院2024年“三公”经费财政拨款预算数0.00万元，其中：公务接待费0.00万元，公务用车购置及运行维护费0.00万元，因公出国（境）经费0.00万元。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51471067"/>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color w:val="333333"/>
          <w:kern w:val="0"/>
          <w:sz w:val="32"/>
          <w:szCs w:val="32"/>
          <w:shd w:val="clear" w:color="auto" w:fill="FFFFFF"/>
          <w:lang w:bidi="ar"/>
        </w:rPr>
        <w:t>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年公务接待</w:t>
      </w:r>
      <w:r>
        <w:rPr>
          <w:rFonts w:hint="eastAsia" w:ascii="仿宋_GB2312" w:eastAsia="仿宋_GB2312"/>
          <w:sz w:val="32"/>
          <w:szCs w:val="32"/>
        </w:rPr>
        <w:t>费安排</w:t>
      </w:r>
      <w:r>
        <w:rPr>
          <w:rFonts w:hint="eastAsia" w:ascii="仿宋_GB2312" w:hAnsi="Times New Roman" w:eastAsia="仿宋_GB2312" w:cs="仿宋_GB2312"/>
          <w:color w:val="333333"/>
          <w:kern w:val="0"/>
          <w:sz w:val="32"/>
          <w:szCs w:val="32"/>
          <w:shd w:val="clear" w:color="auto" w:fill="FFFFFF"/>
          <w:lang w:bidi="ar"/>
        </w:rPr>
        <w:t>预算数</w:t>
      </w:r>
      <w:r>
        <w:rPr>
          <w:rFonts w:hint="eastAsia" w:ascii="仿宋_GB2312" w:eastAsia="仿宋_GB2312"/>
          <w:sz w:val="32"/>
          <w:szCs w:val="32"/>
        </w:rPr>
        <w:t>0.00</w:t>
      </w:r>
      <w:r>
        <w:rPr>
          <w:rFonts w:hint="eastAsia" w:ascii="仿宋_GB2312" w:hAnsi="Times New Roman" w:eastAsia="仿宋_GB2312" w:cs="仿宋_GB2312"/>
          <w:color w:val="333333"/>
          <w:kern w:val="0"/>
          <w:sz w:val="32"/>
          <w:szCs w:val="32"/>
          <w:shd w:val="clear" w:color="auto" w:fill="FFFFFF"/>
          <w:lang w:bidi="ar"/>
        </w:rPr>
        <w:t>万元</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仿宋_GB2312" w:eastAsia="仿宋_GB2312" w:cs="仿宋_GB2312"/>
          <w:sz w:val="32"/>
          <w:szCs w:val="32"/>
          <w:lang w:val="en-US" w:eastAsia="zh-CN"/>
        </w:rPr>
        <w:t>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232448439"/>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年安排公务用车购置及运行维护费安排预算</w:t>
      </w:r>
      <w:r>
        <w:rPr>
          <w:rFonts w:hint="eastAsia" w:ascii="仿宋_GB2312" w:hAnsi="Times New Roman" w:eastAsia="仿宋_GB2312" w:cs="仿宋_GB2312"/>
          <w:color w:val="333333"/>
          <w:kern w:val="0"/>
          <w:sz w:val="32"/>
          <w:szCs w:val="32"/>
          <w:shd w:val="clear" w:color="auto" w:fill="FFFFFF"/>
          <w:lang w:bidi="ar"/>
        </w:rPr>
        <w:t>数</w:t>
      </w:r>
      <w:r>
        <w:rPr>
          <w:rFonts w:hint="eastAsia" w:ascii="仿宋_GB2312" w:eastAsia="仿宋_GB2312"/>
          <w:sz w:val="32"/>
          <w:szCs w:val="32"/>
        </w:rPr>
        <w:t>0.00</w:t>
      </w:r>
      <w:r>
        <w:rPr>
          <w:rFonts w:hint="eastAsia" w:ascii="仿宋_GB2312" w:hAnsi="Times New Roman" w:eastAsia="仿宋_GB2312" w:cs="仿宋_GB2312"/>
          <w:color w:val="333333"/>
          <w:kern w:val="0"/>
          <w:sz w:val="32"/>
          <w:szCs w:val="32"/>
          <w:shd w:val="clear" w:color="auto" w:fill="FFFFFF"/>
          <w:lang w:bidi="ar"/>
        </w:rPr>
        <w:t>万元</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仿宋_GB2312" w:eastAsia="仿宋_GB2312" w:cs="仿宋_GB2312"/>
          <w:sz w:val="32"/>
          <w:szCs w:val="32"/>
          <w:lang w:val="en-US" w:eastAsia="zh-CN"/>
        </w:rPr>
        <w:t>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单位现有公务用车0辆。业务用车11辆，均为救护车。其经费来源为事业收入。</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2024年未安排公务用车购置</w:t>
      </w:r>
      <w:r>
        <w:rPr>
          <w:rFonts w:hint="default" w:ascii="仿宋_GB2312" w:eastAsia="仿宋_GB2312"/>
          <w:sz w:val="32"/>
          <w:szCs w:val="32"/>
          <w:lang w:eastAsia="zh-CN"/>
        </w:rPr>
        <w:t>及运行维护</w:t>
      </w:r>
      <w:r>
        <w:rPr>
          <w:rFonts w:hint="eastAsia" w:ascii="仿宋_GB2312" w:eastAsia="仿宋_GB2312"/>
          <w:sz w:val="32"/>
          <w:szCs w:val="32"/>
          <w:lang w:val="en-US" w:eastAsia="zh-CN"/>
        </w:rPr>
        <w:t>费。</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55460330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rPr>
        <w:t>因公出国（境）经费</w:t>
      </w:r>
      <w:r>
        <w:rPr>
          <w:rFonts w:hint="eastAsia" w:ascii="仿宋_GB2312" w:hAnsi="Times New Roman" w:eastAsia="仿宋_GB2312" w:cs="仿宋_GB2312"/>
          <w:color w:val="333333"/>
          <w:kern w:val="0"/>
          <w:sz w:val="32"/>
          <w:szCs w:val="32"/>
          <w:shd w:val="clear" w:color="auto" w:fill="FFFFFF"/>
          <w:lang w:bidi="ar"/>
        </w:rPr>
        <w:t>安排预算数</w:t>
      </w:r>
      <w:r>
        <w:rPr>
          <w:rFonts w:hint="eastAsia" w:ascii="仿宋_GB2312" w:eastAsia="仿宋_GB2312"/>
          <w:sz w:val="32"/>
          <w:szCs w:val="32"/>
        </w:rPr>
        <w:t>0.00</w:t>
      </w:r>
      <w:r>
        <w:rPr>
          <w:rFonts w:hint="eastAsia" w:ascii="仿宋_GB2312" w:hAnsi="Times New Roman" w:eastAsia="仿宋_GB2312" w:cs="仿宋_GB2312"/>
          <w:color w:val="333333"/>
          <w:kern w:val="0"/>
          <w:sz w:val="32"/>
          <w:szCs w:val="32"/>
          <w:shd w:val="clear" w:color="auto" w:fill="FFFFFF"/>
          <w:lang w:bidi="ar"/>
        </w:rPr>
        <w:t>万元</w:t>
      </w:r>
      <w:r>
        <w:rPr>
          <w:rFonts w:hint="eastAsia" w:ascii="仿宋_GB2312" w:eastAsia="仿宋_GB2312"/>
          <w:sz w:val="32"/>
          <w:szCs w:val="32"/>
        </w:rPr>
        <w:t>，</w:t>
      </w:r>
      <w:r>
        <w:rPr>
          <w:rFonts w:hint="eastAsia" w:ascii="仿宋_GB2312" w:hAnsi="仿宋_GB2312" w:eastAsia="仿宋_GB2312" w:cs="仿宋_GB2312"/>
          <w:sz w:val="32"/>
          <w:szCs w:val="32"/>
          <w:lang w:val="en-US" w:eastAsia="zh-CN"/>
        </w:rPr>
        <w:t>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328724102"/>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广元市中医医院2024年无政府性基金预算拨款安排的支出。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677725191"/>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广元市中医医院2024年无国有资本经营预算拨款安排的支出。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423165436"/>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675167942"/>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广元市中医医院为事业单位，按规定未使用机关运行的相关科目。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90914136"/>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2024年广元市中医医院安排政府采购预算23649.45万元，其中：政府采购货物预算21431.45万元、政府采购工程预算160.00万元、政府采购服务预算2058.00万元。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304756192"/>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截至2023年底，广元市中医医院共有车辆11辆，</w:t>
      </w:r>
      <w:r>
        <w:rPr>
          <w:rFonts w:hint="eastAsia" w:ascii="仿宋_GB2312" w:eastAsia="仿宋_GB2312"/>
          <w:sz w:val="32"/>
          <w:szCs w:val="32"/>
          <w:highlight w:val="none"/>
        </w:rPr>
        <w:t>全部为其他用车辆</w:t>
      </w:r>
      <w:r>
        <w:rPr>
          <w:rFonts w:hint="eastAsia" w:ascii="仿宋_GB2312" w:hAnsi="仿宋_GB2312" w:eastAsia="仿宋_GB2312" w:cs="仿宋_GB2312"/>
          <w:sz w:val="32"/>
          <w:szCs w:val="32"/>
          <w:highlight w:val="none"/>
          <w:lang w:val="en-US" w:eastAsia="zh-CN"/>
        </w:rPr>
        <w:t>。单位价值200万元以上大型设备10台。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2024年单位预算安排车辆购置经费0.00万元。安排大型设备购置经费16015.00万元。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3" w:name="_Toc305853323"/>
      <w:r>
        <w:rPr>
          <w:rFonts w:hint="eastAsia" w:ascii="楷体_GB2312" w:hAnsi="楷体_GB2312" w:eastAsia="楷体_GB2312" w:cs="楷体_GB2312"/>
          <w:sz w:val="32"/>
          <w:szCs w:val="32"/>
          <w:highlight w:val="none"/>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2024年广元市中医医院开展绩效目标管理的项目15个，涉及预算76427.95万元。其中：人员类项目3个，涉及预算 25014.01万元；特定目标类项目12个，涉及预算51413.94万元。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844434232"/>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指事业单位开展专业业务活动及辅助活动所取得的收入。主要为医院收取的医疗收入。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“事业收入”等以外的收入。如利息收入；收回投资款、借款、预估投资收益等。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指单位实施养老保险制度由单位缴纳的养老保险的支出。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指单位实施养老保险制度由单位缴纳的职业年金的支出。</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default" w:ascii="楷体_GB2312" w:hAnsi="楷体_GB2312" w:eastAsia="楷体_GB2312" w:cs="楷体_GB2312"/>
          <w:sz w:val="32"/>
          <w:szCs w:val="32"/>
          <w:lang w:eastAsia="zh-CN"/>
        </w:rPr>
        <w:t>（六）</w:t>
      </w:r>
      <w:r>
        <w:rPr>
          <w:rFonts w:hint="default" w:ascii="楷体_GB2312" w:hAnsi="楷体_GB2312" w:eastAsia="楷体_GB2312" w:cs="楷体_GB2312"/>
          <w:sz w:val="32"/>
          <w:szCs w:val="32"/>
          <w:lang w:val="en-US" w:eastAsia="zh-CN"/>
        </w:rPr>
        <w:t>社会保障和就业支出（类）</w:t>
      </w:r>
      <w:r>
        <w:rPr>
          <w:rFonts w:hint="eastAsia" w:ascii="楷体_GB2312" w:hAnsi="楷体_GB2312" w:eastAsia="楷体_GB2312" w:cs="楷体_GB2312"/>
          <w:sz w:val="32"/>
          <w:szCs w:val="32"/>
          <w:lang w:val="en-US" w:eastAsia="zh-CN"/>
        </w:rPr>
        <w:t>其他</w:t>
      </w:r>
      <w:r>
        <w:rPr>
          <w:rFonts w:hint="default" w:ascii="楷体_GB2312" w:hAnsi="楷体_GB2312" w:eastAsia="楷体_GB2312" w:cs="楷体_GB2312"/>
          <w:sz w:val="32"/>
          <w:szCs w:val="32"/>
          <w:lang w:val="en-US" w:eastAsia="zh-CN"/>
        </w:rPr>
        <w:t>社会保障和就业支出（款）</w:t>
      </w:r>
      <w:r>
        <w:rPr>
          <w:rFonts w:hint="eastAsia" w:ascii="楷体_GB2312" w:hAnsi="楷体_GB2312" w:eastAsia="楷体_GB2312" w:cs="楷体_GB2312"/>
          <w:sz w:val="32"/>
          <w:szCs w:val="32"/>
          <w:lang w:val="en-US" w:eastAsia="zh-CN"/>
        </w:rPr>
        <w:t>其他</w:t>
      </w:r>
      <w:r>
        <w:rPr>
          <w:rFonts w:hint="default" w:ascii="楷体_GB2312" w:hAnsi="楷体_GB2312" w:eastAsia="楷体_GB2312" w:cs="楷体_GB2312"/>
          <w:sz w:val="32"/>
          <w:szCs w:val="32"/>
          <w:lang w:val="en-US" w:eastAsia="zh-CN"/>
        </w:rPr>
        <w:t>社会保障和就业支出（项</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除上述项目以外其他用于社会保障和就业方面的支出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hd w:val="clear"/>
        <w:spacing w:before="75" w:beforeAutospacing="0" w:after="75" w:afterAutospacing="0"/>
        <w:ind w:left="0" w:right="0" w:firstLine="640"/>
        <w:jc w:val="left"/>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）卫生健康支出（类）公立医院（款）中医（民族）医院（项）：</w:t>
      </w:r>
      <w:r>
        <w:rPr>
          <w:rFonts w:hint="eastAsia" w:ascii="仿宋_GB2312" w:hAnsi="仿宋_GB2312" w:eastAsia="仿宋_GB2312" w:cs="仿宋_GB2312"/>
          <w:sz w:val="32"/>
          <w:szCs w:val="32"/>
          <w:lang w:val="en-US" w:eastAsia="zh-CN"/>
        </w:rPr>
        <w:t>指反映卫生健康、中医部门所属的中医院、中西医结合医院、民族医院的支出。</w:t>
      </w:r>
      <w:r>
        <w:rPr>
          <w:rFonts w:hint="eastAsia" w:ascii="仿宋_GB2312" w:hAnsi="仿宋_GB2312" w:eastAsia="仿宋_GB2312" w:cs="仿宋_GB2312"/>
          <w:sz w:val="32"/>
          <w:szCs w:val="32"/>
          <w:lang w:val="en-US" w:eastAsia="zh-CN"/>
        </w:rPr>
        <w:br w:type="textWrapping"/>
      </w:r>
      <w:r>
        <w:rPr>
          <w:rFonts w:hint="default" w:ascii="仿宋_GB2312" w:hAnsi="仿宋_GB2312" w:eastAsia="仿宋_GB2312" w:cs="仿宋_GB2312"/>
          <w:sz w:val="32"/>
          <w:szCs w:val="32"/>
          <w:lang w:eastAsia="zh-CN"/>
        </w:rPr>
        <w:t xml:space="preserve">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default" w:ascii="仿宋_GB2312" w:hAnsi="仿宋_GB2312" w:eastAsia="仿宋_GB2312" w:cs="仿宋_GB2312"/>
          <w:sz w:val="32"/>
          <w:szCs w:val="32"/>
          <w:lang w:eastAsia="zh-CN"/>
        </w:rPr>
        <w:t xml:space="preserve">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十</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cbf4f747-0839-4661-a090-360ad868cf65"/>
  </w:docVars>
  <w:rsids>
    <w:rsidRoot w:val="00000000"/>
    <w:rsid w:val="012352D1"/>
    <w:rsid w:val="06407056"/>
    <w:rsid w:val="07D6B572"/>
    <w:rsid w:val="0AE708BE"/>
    <w:rsid w:val="0DA72C32"/>
    <w:rsid w:val="102768A6"/>
    <w:rsid w:val="122A3FF2"/>
    <w:rsid w:val="14FA38C5"/>
    <w:rsid w:val="1D9F113A"/>
    <w:rsid w:val="1F2C0F31"/>
    <w:rsid w:val="1F7BF06F"/>
    <w:rsid w:val="1FEE4B73"/>
    <w:rsid w:val="23CE9849"/>
    <w:rsid w:val="28054545"/>
    <w:rsid w:val="2D2E719F"/>
    <w:rsid w:val="2DBF248F"/>
    <w:rsid w:val="32F67C81"/>
    <w:rsid w:val="336F0672"/>
    <w:rsid w:val="35ED2FEC"/>
    <w:rsid w:val="360C6225"/>
    <w:rsid w:val="372799D5"/>
    <w:rsid w:val="39F304DD"/>
    <w:rsid w:val="3B38216D"/>
    <w:rsid w:val="3C70444F"/>
    <w:rsid w:val="3D0C0B5D"/>
    <w:rsid w:val="3E9D0AD2"/>
    <w:rsid w:val="40B20E7D"/>
    <w:rsid w:val="449F39C1"/>
    <w:rsid w:val="45F3085D"/>
    <w:rsid w:val="496431E3"/>
    <w:rsid w:val="512004B1"/>
    <w:rsid w:val="54244390"/>
    <w:rsid w:val="54662A63"/>
    <w:rsid w:val="58064E12"/>
    <w:rsid w:val="5ABC6D23"/>
    <w:rsid w:val="5BB037B5"/>
    <w:rsid w:val="5BFEE015"/>
    <w:rsid w:val="5D553C89"/>
    <w:rsid w:val="5FEFE2C5"/>
    <w:rsid w:val="639B6EFB"/>
    <w:rsid w:val="63EDCF55"/>
    <w:rsid w:val="63FBFBCF"/>
    <w:rsid w:val="669360FD"/>
    <w:rsid w:val="66F732EE"/>
    <w:rsid w:val="68FF6A83"/>
    <w:rsid w:val="697A5CB9"/>
    <w:rsid w:val="6AEF6005"/>
    <w:rsid w:val="6E3DB48E"/>
    <w:rsid w:val="6FBBC9CF"/>
    <w:rsid w:val="72BDE561"/>
    <w:rsid w:val="73533EF8"/>
    <w:rsid w:val="7600438F"/>
    <w:rsid w:val="78462278"/>
    <w:rsid w:val="7997EA6C"/>
    <w:rsid w:val="7AEAE675"/>
    <w:rsid w:val="7BAFCE5D"/>
    <w:rsid w:val="7BFFEBC9"/>
    <w:rsid w:val="7D46598C"/>
    <w:rsid w:val="7D9F8F0F"/>
    <w:rsid w:val="7DFB240B"/>
    <w:rsid w:val="7DFE05E7"/>
    <w:rsid w:val="7DFE734D"/>
    <w:rsid w:val="7E0935ED"/>
    <w:rsid w:val="7E5762F6"/>
    <w:rsid w:val="7FCF2AF7"/>
    <w:rsid w:val="933F5B98"/>
    <w:rsid w:val="9FEF033D"/>
    <w:rsid w:val="A27FF1E5"/>
    <w:rsid w:val="AF3FEDDD"/>
    <w:rsid w:val="AFDEB5A7"/>
    <w:rsid w:val="AFEA7FBF"/>
    <w:rsid w:val="B83F4767"/>
    <w:rsid w:val="BBEDD7B5"/>
    <w:rsid w:val="BF930F07"/>
    <w:rsid w:val="BFCE8436"/>
    <w:rsid w:val="C3F7EB7A"/>
    <w:rsid w:val="CFF5FEEC"/>
    <w:rsid w:val="D3DD9064"/>
    <w:rsid w:val="D6F76A0C"/>
    <w:rsid w:val="D7ECE8D2"/>
    <w:rsid w:val="DFDD4FB5"/>
    <w:rsid w:val="E7F748B5"/>
    <w:rsid w:val="EE5F3713"/>
    <w:rsid w:val="EFC9D62C"/>
    <w:rsid w:val="F6BE9755"/>
    <w:rsid w:val="F6FFA89B"/>
    <w:rsid w:val="F73E742D"/>
    <w:rsid w:val="F88D0DC7"/>
    <w:rsid w:val="FAE4EFE1"/>
    <w:rsid w:val="FB9B6F12"/>
    <w:rsid w:val="FBB66A4A"/>
    <w:rsid w:val="FDEE6989"/>
    <w:rsid w:val="FEDBE0E8"/>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qFormat/>
    <w:uiPriority w:val="0"/>
  </w:style>
  <w:style w:type="paragraph" w:styleId="9">
    <w:name w:val="toc 2"/>
    <w:basedOn w:val="1"/>
    <w:next w:val="1"/>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6010</Words>
  <Characters>6346</Characters>
  <TotalTime>1</TotalTime>
  <ScaleCrop>false</ScaleCrop>
  <LinksUpToDate>false</LinksUpToDate>
  <CharactersWithSpaces>6445</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dell</cp:lastModifiedBy>
  <cp:lastPrinted>2024-02-02T18:21:00Z</cp:lastPrinted>
  <dcterms:modified xsi:type="dcterms:W3CDTF">2024-03-03T16:49:53Z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