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eastAsia="zh-CN"/>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eastAsia="zh-CN"/>
          <w14:textFill>
            <w14:solidFill>
              <w14:schemeClr w14:val="tx1"/>
            </w14:solidFill>
          </w14:textFill>
        </w:rPr>
        <w:t>广元市第一人民医院</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sectPr>
          <w:footerReference r:id="rId3" w:type="default"/>
          <w:pgSz w:w="11906" w:h="16838"/>
          <w:pgMar w:top="2098" w:right="1474" w:bottom="1984" w:left="1474" w:header="720" w:footer="1559" w:gutter="0"/>
          <w:pgNumType w:fmt="decimal"/>
          <w:cols w:space="720" w:num="1"/>
          <w:docGrid w:type="lines" w:linePitch="312" w:charSpace="0"/>
        </w:sect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2024年单位预算编制说明</w:t>
      </w:r>
    </w:p>
    <w:sdt>
      <w:sdtPr>
        <w:rPr>
          <w:rFonts w:ascii="宋体" w:hAnsi="宋体" w:eastAsia="宋体" w:cs="Times New Roman"/>
          <w:color w:val="auto"/>
          <w:kern w:val="2"/>
          <w:sz w:val="21"/>
          <w:szCs w:val="24"/>
          <w:lang w:val="en-US" w:eastAsia="zh-CN" w:bidi="ar-SA"/>
        </w:rPr>
        <w:id w:val="147474558"/>
        <w15:color w:val="DBDBDB"/>
        <w:docPartObj>
          <w:docPartGallery w:val="Table of Contents"/>
          <w:docPartUnique/>
        </w:docPartObj>
      </w:sdtPr>
      <w:sdtEndPr>
        <w:rPr>
          <w:rFonts w:hint="eastAsia" w:ascii="Calibri" w:hAnsi="Calibri" w:eastAsia="宋体" w:cs="Times New Roman"/>
          <w:b/>
          <w:color w:val="auto"/>
          <w:kern w:val="2"/>
          <w:sz w:val="32"/>
          <w:szCs w:val="24"/>
          <w:lang w:val="en-US" w:eastAsia="zh-CN" w:bidi="ar-SA"/>
        </w:rPr>
      </w:sdtEndPr>
      <w:sdtContent>
        <w:p>
          <w:pPr>
            <w:pageBreakBefore w:val="0"/>
            <w:kinsoku/>
            <w:wordWrap/>
            <w:overflowPunct/>
            <w:topLinePunct w:val="0"/>
            <w:autoSpaceDE/>
            <w:autoSpaceDN/>
            <w:bidi w:val="0"/>
            <w:adjustRightInd/>
            <w:snapToGrid/>
            <w:spacing w:before="0" w:beforeLines="0" w:after="0" w:afterLines="0" w:line="460" w:lineRule="exact"/>
            <w:ind w:left="0" w:leftChars="0" w:right="0" w:rightChars="0" w:firstLine="0" w:firstLineChars="0"/>
            <w:jc w:val="center"/>
            <w:textAlignment w:val="auto"/>
          </w:pPr>
          <w:r>
            <w:rPr>
              <w:rFonts w:ascii="宋体" w:hAnsi="宋体" w:eastAsia="宋体"/>
              <w:sz w:val="21"/>
            </w:rPr>
            <w:t>目录</w:t>
          </w:r>
        </w:p>
        <w:p>
          <w:pPr>
            <w:pStyle w:val="20"/>
            <w:pageBreakBefore w:val="0"/>
            <w:tabs>
              <w:tab w:val="right" w:leader="dot" w:pos="8958"/>
            </w:tabs>
            <w:kinsoku/>
            <w:wordWrap/>
            <w:overflowPunct/>
            <w:topLinePunct w:val="0"/>
            <w:autoSpaceDE/>
            <w:autoSpaceDN/>
            <w:bidi w:val="0"/>
            <w:adjustRightInd/>
            <w:snapToGrid/>
            <w:spacing w:line="460" w:lineRule="exact"/>
            <w:textAlignment w:val="auto"/>
            <w:rPr>
              <w:b/>
            </w:rPr>
          </w:pPr>
          <w:r>
            <w:rPr>
              <w:rFonts w:hint="eastAsia"/>
              <w:lang w:val="en-US" w:eastAsia="zh-CN"/>
            </w:rPr>
            <w:fldChar w:fldCharType="begin"/>
          </w:r>
          <w:r>
            <w:rPr>
              <w:rFonts w:hint="eastAsia"/>
              <w:lang w:val="en-US" w:eastAsia="zh-CN"/>
            </w:rPr>
            <w:instrText xml:space="preserve">TOC \o "1-2" \h \u </w:instrText>
          </w:r>
          <w:r>
            <w:rPr>
              <w:rFonts w:hint="eastAsia"/>
              <w:lang w:val="en-US" w:eastAsia="zh-CN"/>
            </w:rPr>
            <w:fldChar w:fldCharType="separate"/>
          </w:r>
          <w:r>
            <w:rPr>
              <w:rFonts w:hint="eastAsia"/>
              <w:b/>
              <w:lang w:val="en-US" w:eastAsia="zh-CN"/>
            </w:rPr>
            <w:fldChar w:fldCharType="begin"/>
          </w:r>
          <w:r>
            <w:rPr>
              <w:rFonts w:hint="eastAsia"/>
              <w:b/>
              <w:lang w:val="en-US" w:eastAsia="zh-CN"/>
            </w:rPr>
            <w:instrText xml:space="preserve"> HYPERLINK \l _Toc12115 </w:instrText>
          </w:r>
          <w:r>
            <w:rPr>
              <w:rFonts w:hint="eastAsia"/>
              <w:b/>
              <w:lang w:val="en-US" w:eastAsia="zh-CN"/>
            </w:rPr>
            <w:fldChar w:fldCharType="separate"/>
          </w:r>
          <w:r>
            <w:rPr>
              <w:rFonts w:hint="eastAsia" w:ascii="黑体" w:hAnsi="黑体" w:eastAsia="黑体" w:cs="黑体"/>
              <w:b/>
              <w:szCs w:val="32"/>
              <w:lang w:val="en-US" w:eastAsia="zh-CN"/>
            </w:rPr>
            <w:t>一、基本职能及主要工作</w:t>
          </w:r>
          <w:r>
            <w:rPr>
              <w:b/>
            </w:rPr>
            <w:tab/>
          </w:r>
          <w:r>
            <w:rPr>
              <w:b/>
            </w:rPr>
            <w:fldChar w:fldCharType="begin"/>
          </w:r>
          <w:r>
            <w:rPr>
              <w:b/>
            </w:rPr>
            <w:instrText xml:space="preserve"> PAGEREF _Toc12115 \h </w:instrText>
          </w:r>
          <w:r>
            <w:rPr>
              <w:b/>
            </w:rPr>
            <w:fldChar w:fldCharType="separate"/>
          </w:r>
          <w:r>
            <w:rPr>
              <w:b/>
            </w:rPr>
            <w:t>3</w:t>
          </w:r>
          <w:r>
            <w:rPr>
              <w:b/>
            </w:rPr>
            <w:fldChar w:fldCharType="end"/>
          </w:r>
          <w:r>
            <w:rPr>
              <w:rFonts w:hint="eastAsia"/>
              <w:b/>
              <w:lang w:val="en-US" w:eastAsia="zh-CN"/>
            </w:rPr>
            <w:fldChar w:fldCharType="end"/>
          </w:r>
        </w:p>
        <w:p>
          <w:pPr>
            <w:pStyle w:val="21"/>
            <w:pageBreakBefore w:val="0"/>
            <w:tabs>
              <w:tab w:val="right" w:leader="dot" w:pos="8958"/>
            </w:tabs>
            <w:kinsoku/>
            <w:wordWrap/>
            <w:overflowPunct/>
            <w:topLinePunct w:val="0"/>
            <w:autoSpaceDE/>
            <w:autoSpaceDN/>
            <w:bidi w:val="0"/>
            <w:adjustRightInd/>
            <w:snapToGrid/>
            <w:spacing w:line="460" w:lineRule="exact"/>
            <w:textAlignment w:val="auto"/>
          </w:pPr>
          <w:r>
            <w:rPr>
              <w:rFonts w:hint="eastAsia"/>
              <w:lang w:val="en-US" w:eastAsia="zh-CN"/>
            </w:rPr>
            <w:fldChar w:fldCharType="begin"/>
          </w:r>
          <w:r>
            <w:rPr>
              <w:rFonts w:hint="eastAsia"/>
              <w:lang w:val="en-US" w:eastAsia="zh-CN"/>
            </w:rPr>
            <w:instrText xml:space="preserve"> HYPERLINK \l _Toc7406 </w:instrText>
          </w:r>
          <w:r>
            <w:rPr>
              <w:rFonts w:hint="eastAsia"/>
              <w:lang w:val="en-US" w:eastAsia="zh-CN"/>
            </w:rPr>
            <w:fldChar w:fldCharType="separate"/>
          </w:r>
          <w:r>
            <w:rPr>
              <w:rFonts w:hint="eastAsia" w:ascii="楷体_GB2312" w:hAnsi="楷体_GB2312" w:eastAsia="楷体_GB2312" w:cs="楷体_GB2312"/>
              <w:szCs w:val="32"/>
            </w:rPr>
            <w:t>（一）</w:t>
          </w:r>
          <w:r>
            <w:rPr>
              <w:rFonts w:hint="eastAsia" w:ascii="楷体_GB2312" w:hAnsi="楷体_GB2312" w:eastAsia="楷体_GB2312" w:cs="楷体_GB2312"/>
              <w:szCs w:val="32"/>
              <w:lang w:eastAsia="zh-CN"/>
            </w:rPr>
            <w:t>广元市第一人民医院</w:t>
          </w:r>
          <w:r>
            <w:rPr>
              <w:rFonts w:hint="eastAsia" w:ascii="楷体_GB2312" w:hAnsi="楷体_GB2312" w:eastAsia="楷体_GB2312" w:cs="楷体_GB2312"/>
              <w:szCs w:val="32"/>
            </w:rPr>
            <w:t>职能简介</w:t>
          </w:r>
          <w:r>
            <w:tab/>
          </w:r>
          <w:r>
            <w:fldChar w:fldCharType="begin"/>
          </w:r>
          <w:r>
            <w:instrText xml:space="preserve"> PAGEREF _Toc7406 \h </w:instrText>
          </w:r>
          <w:r>
            <w:fldChar w:fldCharType="separate"/>
          </w:r>
          <w:r>
            <w:t>3</w:t>
          </w:r>
          <w:r>
            <w:fldChar w:fldCharType="end"/>
          </w:r>
          <w:r>
            <w:rPr>
              <w:rFonts w:hint="eastAsia"/>
              <w:lang w:val="en-US" w:eastAsia="zh-CN"/>
            </w:rPr>
            <w:fldChar w:fldCharType="end"/>
          </w:r>
        </w:p>
        <w:p>
          <w:pPr>
            <w:pStyle w:val="21"/>
            <w:pageBreakBefore w:val="0"/>
            <w:tabs>
              <w:tab w:val="right" w:leader="dot" w:pos="8958"/>
            </w:tabs>
            <w:kinsoku/>
            <w:wordWrap/>
            <w:overflowPunct/>
            <w:topLinePunct w:val="0"/>
            <w:autoSpaceDE/>
            <w:autoSpaceDN/>
            <w:bidi w:val="0"/>
            <w:adjustRightInd/>
            <w:snapToGrid/>
            <w:spacing w:line="460" w:lineRule="exact"/>
            <w:textAlignment w:val="auto"/>
          </w:pPr>
          <w:r>
            <w:rPr>
              <w:rFonts w:hint="eastAsia"/>
              <w:lang w:val="en-US" w:eastAsia="zh-CN"/>
            </w:rPr>
            <w:fldChar w:fldCharType="begin"/>
          </w:r>
          <w:r>
            <w:rPr>
              <w:rFonts w:hint="eastAsia"/>
              <w:lang w:val="en-US" w:eastAsia="zh-CN"/>
            </w:rPr>
            <w:instrText xml:space="preserve"> HYPERLINK \l _Toc11029 </w:instrText>
          </w:r>
          <w:r>
            <w:rPr>
              <w:rFonts w:hint="eastAsia"/>
              <w:lang w:val="en-US" w:eastAsia="zh-CN"/>
            </w:rPr>
            <w:fldChar w:fldCharType="separate"/>
          </w:r>
          <w:r>
            <w:rPr>
              <w:rFonts w:hint="eastAsia" w:ascii="楷体_GB2312" w:hAnsi="楷体_GB2312" w:eastAsia="楷体_GB2312" w:cs="楷体_GB2312"/>
              <w:szCs w:val="32"/>
            </w:rPr>
            <w:t xml:space="preserve">（二） </w:t>
          </w:r>
          <w:r>
            <w:rPr>
              <w:rFonts w:hint="eastAsia" w:ascii="楷体_GB2312" w:hAnsi="楷体_GB2312" w:eastAsia="楷体_GB2312" w:cs="楷体_GB2312"/>
              <w:szCs w:val="32"/>
              <w:lang w:eastAsia="zh-CN"/>
            </w:rPr>
            <w:t>广元市第一人民医院</w:t>
          </w:r>
          <w:r>
            <w:rPr>
              <w:rFonts w:hint="eastAsia" w:ascii="楷体_GB2312" w:hAnsi="楷体_GB2312" w:eastAsia="楷体_GB2312" w:cs="楷体_GB2312"/>
              <w:szCs w:val="32"/>
              <w:lang w:val="en-US"/>
            </w:rPr>
            <w:t>2024</w:t>
          </w:r>
          <w:r>
            <w:rPr>
              <w:rFonts w:hint="eastAsia" w:ascii="楷体_GB2312" w:hAnsi="楷体_GB2312" w:eastAsia="楷体_GB2312" w:cs="楷体_GB2312"/>
              <w:szCs w:val="32"/>
            </w:rPr>
            <w:t>年重点工作</w:t>
          </w:r>
          <w:r>
            <w:tab/>
          </w:r>
          <w:r>
            <w:fldChar w:fldCharType="begin"/>
          </w:r>
          <w:r>
            <w:instrText xml:space="preserve"> PAGEREF _Toc11029 \h </w:instrText>
          </w:r>
          <w:r>
            <w:fldChar w:fldCharType="separate"/>
          </w:r>
          <w:r>
            <w:t>3</w:t>
          </w:r>
          <w:r>
            <w:fldChar w:fldCharType="end"/>
          </w:r>
          <w:r>
            <w:rPr>
              <w:rFonts w:hint="eastAsia"/>
              <w:lang w:val="en-US" w:eastAsia="zh-CN"/>
            </w:rPr>
            <w:fldChar w:fldCharType="end"/>
          </w:r>
        </w:p>
        <w:p>
          <w:pPr>
            <w:pStyle w:val="20"/>
            <w:pageBreakBefore w:val="0"/>
            <w:tabs>
              <w:tab w:val="right" w:leader="dot" w:pos="8958"/>
            </w:tabs>
            <w:kinsoku/>
            <w:wordWrap/>
            <w:overflowPunct/>
            <w:topLinePunct w:val="0"/>
            <w:autoSpaceDE/>
            <w:autoSpaceDN/>
            <w:bidi w:val="0"/>
            <w:adjustRightInd/>
            <w:snapToGrid/>
            <w:spacing w:line="460" w:lineRule="exact"/>
            <w:textAlignment w:val="auto"/>
            <w:rPr>
              <w:b/>
            </w:rPr>
          </w:pPr>
          <w:r>
            <w:rPr>
              <w:rFonts w:hint="eastAsia"/>
              <w:b/>
              <w:lang w:val="en-US" w:eastAsia="zh-CN"/>
            </w:rPr>
            <w:fldChar w:fldCharType="begin"/>
          </w:r>
          <w:r>
            <w:rPr>
              <w:rFonts w:hint="eastAsia"/>
              <w:b/>
              <w:lang w:val="en-US" w:eastAsia="zh-CN"/>
            </w:rPr>
            <w:instrText xml:space="preserve"> HYPERLINK \l _Toc28252 </w:instrText>
          </w:r>
          <w:r>
            <w:rPr>
              <w:rFonts w:hint="eastAsia"/>
              <w:b/>
              <w:lang w:val="en-US" w:eastAsia="zh-CN"/>
            </w:rPr>
            <w:fldChar w:fldCharType="separate"/>
          </w:r>
          <w:r>
            <w:rPr>
              <w:rFonts w:hint="eastAsia" w:ascii="黑体" w:hAnsi="黑体" w:eastAsia="黑体" w:cs="黑体"/>
              <w:b/>
              <w:szCs w:val="32"/>
              <w:lang w:val="en-US" w:eastAsia="zh-CN"/>
            </w:rPr>
            <w:t>二、部门预算单位构成</w:t>
          </w:r>
          <w:r>
            <w:rPr>
              <w:b/>
            </w:rPr>
            <w:tab/>
          </w:r>
          <w:r>
            <w:rPr>
              <w:b/>
            </w:rPr>
            <w:fldChar w:fldCharType="begin"/>
          </w:r>
          <w:r>
            <w:rPr>
              <w:b/>
            </w:rPr>
            <w:instrText xml:space="preserve"> PAGEREF _Toc28252 \h </w:instrText>
          </w:r>
          <w:r>
            <w:rPr>
              <w:b/>
            </w:rPr>
            <w:fldChar w:fldCharType="separate"/>
          </w:r>
          <w:r>
            <w:rPr>
              <w:b/>
            </w:rPr>
            <w:t>10</w:t>
          </w:r>
          <w:r>
            <w:rPr>
              <w:b/>
            </w:rPr>
            <w:fldChar w:fldCharType="end"/>
          </w:r>
          <w:r>
            <w:rPr>
              <w:rFonts w:hint="eastAsia"/>
              <w:b/>
              <w:lang w:val="en-US" w:eastAsia="zh-CN"/>
            </w:rPr>
            <w:fldChar w:fldCharType="end"/>
          </w:r>
        </w:p>
        <w:p>
          <w:pPr>
            <w:pStyle w:val="20"/>
            <w:pageBreakBefore w:val="0"/>
            <w:tabs>
              <w:tab w:val="right" w:leader="dot" w:pos="8958"/>
            </w:tabs>
            <w:kinsoku/>
            <w:wordWrap/>
            <w:overflowPunct/>
            <w:topLinePunct w:val="0"/>
            <w:autoSpaceDE/>
            <w:autoSpaceDN/>
            <w:bidi w:val="0"/>
            <w:adjustRightInd/>
            <w:snapToGrid/>
            <w:spacing w:line="460" w:lineRule="exact"/>
            <w:textAlignment w:val="auto"/>
            <w:rPr>
              <w:b/>
            </w:rPr>
          </w:pPr>
          <w:r>
            <w:rPr>
              <w:rFonts w:hint="eastAsia"/>
              <w:b/>
              <w:lang w:val="en-US" w:eastAsia="zh-CN"/>
            </w:rPr>
            <w:fldChar w:fldCharType="begin"/>
          </w:r>
          <w:r>
            <w:rPr>
              <w:rFonts w:hint="eastAsia"/>
              <w:b/>
              <w:lang w:val="en-US" w:eastAsia="zh-CN"/>
            </w:rPr>
            <w:instrText xml:space="preserve"> HYPERLINK \l _Toc23765 </w:instrText>
          </w:r>
          <w:r>
            <w:rPr>
              <w:rFonts w:hint="eastAsia"/>
              <w:b/>
              <w:lang w:val="en-US" w:eastAsia="zh-CN"/>
            </w:rPr>
            <w:fldChar w:fldCharType="separate"/>
          </w:r>
          <w:r>
            <w:rPr>
              <w:rFonts w:hint="eastAsia" w:ascii="黑体" w:hAnsi="黑体" w:eastAsia="黑体" w:cs="黑体"/>
              <w:b/>
              <w:szCs w:val="32"/>
              <w:lang w:val="en-US" w:eastAsia="zh-CN"/>
            </w:rPr>
            <w:t>三、收支预算情况说明</w:t>
          </w:r>
          <w:r>
            <w:rPr>
              <w:b/>
            </w:rPr>
            <w:tab/>
          </w:r>
          <w:r>
            <w:rPr>
              <w:b/>
            </w:rPr>
            <w:fldChar w:fldCharType="begin"/>
          </w:r>
          <w:r>
            <w:rPr>
              <w:b/>
            </w:rPr>
            <w:instrText xml:space="preserve"> PAGEREF _Toc23765 \h </w:instrText>
          </w:r>
          <w:r>
            <w:rPr>
              <w:b/>
            </w:rPr>
            <w:fldChar w:fldCharType="separate"/>
          </w:r>
          <w:r>
            <w:rPr>
              <w:b/>
            </w:rPr>
            <w:t>11</w:t>
          </w:r>
          <w:r>
            <w:rPr>
              <w:b/>
            </w:rPr>
            <w:fldChar w:fldCharType="end"/>
          </w:r>
          <w:r>
            <w:rPr>
              <w:rFonts w:hint="eastAsia"/>
              <w:b/>
              <w:lang w:val="en-US" w:eastAsia="zh-CN"/>
            </w:rPr>
            <w:fldChar w:fldCharType="end"/>
          </w:r>
        </w:p>
        <w:p>
          <w:pPr>
            <w:pStyle w:val="21"/>
            <w:pageBreakBefore w:val="0"/>
            <w:tabs>
              <w:tab w:val="right" w:leader="dot" w:pos="8958"/>
            </w:tabs>
            <w:kinsoku/>
            <w:wordWrap/>
            <w:overflowPunct/>
            <w:topLinePunct w:val="0"/>
            <w:autoSpaceDE/>
            <w:autoSpaceDN/>
            <w:bidi w:val="0"/>
            <w:adjustRightInd/>
            <w:snapToGrid/>
            <w:spacing w:line="460" w:lineRule="exact"/>
            <w:textAlignment w:val="auto"/>
          </w:pPr>
          <w:r>
            <w:rPr>
              <w:rFonts w:hint="eastAsia"/>
              <w:lang w:val="en-US" w:eastAsia="zh-CN"/>
            </w:rPr>
            <w:fldChar w:fldCharType="begin"/>
          </w:r>
          <w:r>
            <w:rPr>
              <w:rFonts w:hint="eastAsia"/>
              <w:lang w:val="en-US" w:eastAsia="zh-CN"/>
            </w:rPr>
            <w:instrText xml:space="preserve"> HYPERLINK \l _Toc22461 </w:instrText>
          </w:r>
          <w:r>
            <w:rPr>
              <w:rFonts w:hint="eastAsia"/>
              <w:lang w:val="en-US" w:eastAsia="zh-CN"/>
            </w:rPr>
            <w:fldChar w:fldCharType="separate"/>
          </w:r>
          <w:r>
            <w:rPr>
              <w:rFonts w:hint="eastAsia" w:ascii="楷体_GB2312" w:hAnsi="楷体_GB2312" w:eastAsia="楷体_GB2312" w:cs="楷体_GB2312"/>
              <w:szCs w:val="32"/>
              <w:lang w:val="en-US" w:eastAsia="zh-CN"/>
            </w:rPr>
            <w:t>（一）收入预算情况</w:t>
          </w:r>
          <w:r>
            <w:tab/>
          </w:r>
          <w:r>
            <w:fldChar w:fldCharType="begin"/>
          </w:r>
          <w:r>
            <w:instrText xml:space="preserve"> PAGEREF _Toc22461 \h </w:instrText>
          </w:r>
          <w:r>
            <w:fldChar w:fldCharType="separate"/>
          </w:r>
          <w:r>
            <w:t>11</w:t>
          </w:r>
          <w:r>
            <w:fldChar w:fldCharType="end"/>
          </w:r>
          <w:r>
            <w:rPr>
              <w:rFonts w:hint="eastAsia"/>
              <w:lang w:val="en-US" w:eastAsia="zh-CN"/>
            </w:rPr>
            <w:fldChar w:fldCharType="end"/>
          </w:r>
        </w:p>
        <w:p>
          <w:pPr>
            <w:pStyle w:val="21"/>
            <w:pageBreakBefore w:val="0"/>
            <w:tabs>
              <w:tab w:val="right" w:leader="dot" w:pos="8958"/>
            </w:tabs>
            <w:kinsoku/>
            <w:wordWrap/>
            <w:overflowPunct/>
            <w:topLinePunct w:val="0"/>
            <w:autoSpaceDE/>
            <w:autoSpaceDN/>
            <w:bidi w:val="0"/>
            <w:adjustRightInd/>
            <w:snapToGrid/>
            <w:spacing w:line="460" w:lineRule="exact"/>
            <w:textAlignment w:val="auto"/>
          </w:pPr>
          <w:r>
            <w:rPr>
              <w:rFonts w:hint="eastAsia"/>
              <w:lang w:val="en-US" w:eastAsia="zh-CN"/>
            </w:rPr>
            <w:fldChar w:fldCharType="begin"/>
          </w:r>
          <w:r>
            <w:rPr>
              <w:rFonts w:hint="eastAsia"/>
              <w:lang w:val="en-US" w:eastAsia="zh-CN"/>
            </w:rPr>
            <w:instrText xml:space="preserve"> HYPERLINK \l _Toc8834 </w:instrText>
          </w:r>
          <w:r>
            <w:rPr>
              <w:rFonts w:hint="eastAsia"/>
              <w:lang w:val="en-US" w:eastAsia="zh-CN"/>
            </w:rP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_Toc8834 \h </w:instrText>
          </w:r>
          <w:r>
            <w:fldChar w:fldCharType="separate"/>
          </w:r>
          <w:r>
            <w:t>11</w:t>
          </w:r>
          <w:r>
            <w:fldChar w:fldCharType="end"/>
          </w:r>
          <w:r>
            <w:rPr>
              <w:rFonts w:hint="eastAsia"/>
              <w:lang w:val="en-US" w:eastAsia="zh-CN"/>
            </w:rPr>
            <w:fldChar w:fldCharType="end"/>
          </w:r>
        </w:p>
        <w:p>
          <w:pPr>
            <w:pStyle w:val="20"/>
            <w:pageBreakBefore w:val="0"/>
            <w:tabs>
              <w:tab w:val="right" w:leader="dot" w:pos="8958"/>
            </w:tabs>
            <w:kinsoku/>
            <w:wordWrap/>
            <w:overflowPunct/>
            <w:topLinePunct w:val="0"/>
            <w:autoSpaceDE/>
            <w:autoSpaceDN/>
            <w:bidi w:val="0"/>
            <w:adjustRightInd/>
            <w:snapToGrid/>
            <w:spacing w:line="460" w:lineRule="exact"/>
            <w:textAlignment w:val="auto"/>
            <w:rPr>
              <w:b/>
            </w:rPr>
          </w:pPr>
          <w:r>
            <w:rPr>
              <w:rFonts w:hint="eastAsia"/>
              <w:b/>
              <w:lang w:val="en-US" w:eastAsia="zh-CN"/>
            </w:rPr>
            <w:fldChar w:fldCharType="begin"/>
          </w:r>
          <w:r>
            <w:rPr>
              <w:rFonts w:hint="eastAsia"/>
              <w:b/>
              <w:lang w:val="en-US" w:eastAsia="zh-CN"/>
            </w:rPr>
            <w:instrText xml:space="preserve"> HYPERLINK \l _Toc9322 </w:instrText>
          </w:r>
          <w:r>
            <w:rPr>
              <w:rFonts w:hint="eastAsia"/>
              <w:b/>
              <w:lang w:val="en-US" w:eastAsia="zh-CN"/>
            </w:rPr>
            <w:fldChar w:fldCharType="separate"/>
          </w:r>
          <w:r>
            <w:rPr>
              <w:rFonts w:hint="eastAsia" w:ascii="黑体" w:hAnsi="黑体" w:eastAsia="黑体" w:cs="黑体"/>
              <w:b/>
              <w:szCs w:val="32"/>
              <w:lang w:val="en-US" w:eastAsia="zh-CN"/>
            </w:rPr>
            <w:t>四、财政拨款收支预算情况说明</w:t>
          </w:r>
          <w:r>
            <w:rPr>
              <w:b/>
            </w:rPr>
            <w:tab/>
          </w:r>
          <w:r>
            <w:rPr>
              <w:b/>
            </w:rPr>
            <w:fldChar w:fldCharType="begin"/>
          </w:r>
          <w:r>
            <w:rPr>
              <w:b/>
            </w:rPr>
            <w:instrText xml:space="preserve"> PAGEREF _Toc9322 \h </w:instrText>
          </w:r>
          <w:r>
            <w:rPr>
              <w:b/>
            </w:rPr>
            <w:fldChar w:fldCharType="separate"/>
          </w:r>
          <w:r>
            <w:rPr>
              <w:b/>
            </w:rPr>
            <w:t>11</w:t>
          </w:r>
          <w:r>
            <w:rPr>
              <w:b/>
            </w:rPr>
            <w:fldChar w:fldCharType="end"/>
          </w:r>
          <w:r>
            <w:rPr>
              <w:rFonts w:hint="eastAsia"/>
              <w:b/>
              <w:lang w:val="en-US" w:eastAsia="zh-CN"/>
            </w:rPr>
            <w:fldChar w:fldCharType="end"/>
          </w:r>
        </w:p>
        <w:p>
          <w:pPr>
            <w:pStyle w:val="20"/>
            <w:pageBreakBefore w:val="0"/>
            <w:tabs>
              <w:tab w:val="right" w:leader="dot" w:pos="8958"/>
            </w:tabs>
            <w:kinsoku/>
            <w:wordWrap/>
            <w:overflowPunct/>
            <w:topLinePunct w:val="0"/>
            <w:autoSpaceDE/>
            <w:autoSpaceDN/>
            <w:bidi w:val="0"/>
            <w:adjustRightInd/>
            <w:snapToGrid/>
            <w:spacing w:line="460" w:lineRule="exact"/>
            <w:textAlignment w:val="auto"/>
            <w:rPr>
              <w:b/>
            </w:rPr>
          </w:pPr>
          <w:r>
            <w:rPr>
              <w:rFonts w:hint="eastAsia"/>
              <w:b/>
              <w:lang w:val="en-US" w:eastAsia="zh-CN"/>
            </w:rPr>
            <w:fldChar w:fldCharType="begin"/>
          </w:r>
          <w:r>
            <w:rPr>
              <w:rFonts w:hint="eastAsia"/>
              <w:b/>
              <w:lang w:val="en-US" w:eastAsia="zh-CN"/>
            </w:rPr>
            <w:instrText xml:space="preserve"> HYPERLINK \l _Toc31227 </w:instrText>
          </w:r>
          <w:r>
            <w:rPr>
              <w:rFonts w:hint="eastAsia"/>
              <w:b/>
              <w:lang w:val="en-US" w:eastAsia="zh-CN"/>
            </w:rPr>
            <w:fldChar w:fldCharType="separate"/>
          </w:r>
          <w:r>
            <w:rPr>
              <w:rFonts w:hint="eastAsia" w:ascii="黑体" w:hAnsi="黑体" w:eastAsia="黑体" w:cs="黑体"/>
              <w:b/>
              <w:szCs w:val="32"/>
              <w:lang w:val="en-US" w:eastAsia="zh-CN"/>
            </w:rPr>
            <w:t>五、一般公共预算当年拨款情况说明</w:t>
          </w:r>
          <w:r>
            <w:rPr>
              <w:b/>
            </w:rPr>
            <w:tab/>
          </w:r>
          <w:r>
            <w:rPr>
              <w:b/>
            </w:rPr>
            <w:fldChar w:fldCharType="begin"/>
          </w:r>
          <w:r>
            <w:rPr>
              <w:b/>
            </w:rPr>
            <w:instrText xml:space="preserve"> PAGEREF _Toc31227 \h </w:instrText>
          </w:r>
          <w:r>
            <w:rPr>
              <w:b/>
            </w:rPr>
            <w:fldChar w:fldCharType="separate"/>
          </w:r>
          <w:r>
            <w:rPr>
              <w:b/>
            </w:rPr>
            <w:t>11</w:t>
          </w:r>
          <w:r>
            <w:rPr>
              <w:b/>
            </w:rPr>
            <w:fldChar w:fldCharType="end"/>
          </w:r>
          <w:r>
            <w:rPr>
              <w:rFonts w:hint="eastAsia"/>
              <w:b/>
              <w:lang w:val="en-US" w:eastAsia="zh-CN"/>
            </w:rPr>
            <w:fldChar w:fldCharType="end"/>
          </w:r>
        </w:p>
        <w:p>
          <w:pPr>
            <w:pStyle w:val="21"/>
            <w:pageBreakBefore w:val="0"/>
            <w:tabs>
              <w:tab w:val="right" w:leader="dot" w:pos="8958"/>
            </w:tabs>
            <w:kinsoku/>
            <w:wordWrap/>
            <w:overflowPunct/>
            <w:topLinePunct w:val="0"/>
            <w:autoSpaceDE/>
            <w:autoSpaceDN/>
            <w:bidi w:val="0"/>
            <w:adjustRightInd/>
            <w:snapToGrid/>
            <w:spacing w:line="460" w:lineRule="exact"/>
            <w:textAlignment w:val="auto"/>
          </w:pPr>
          <w:r>
            <w:rPr>
              <w:rFonts w:hint="eastAsia"/>
              <w:lang w:val="en-US" w:eastAsia="zh-CN"/>
            </w:rPr>
            <w:fldChar w:fldCharType="begin"/>
          </w:r>
          <w:r>
            <w:rPr>
              <w:rFonts w:hint="eastAsia"/>
              <w:lang w:val="en-US" w:eastAsia="zh-CN"/>
            </w:rPr>
            <w:instrText xml:space="preserve"> HYPERLINK \l _Toc8604 </w:instrText>
          </w:r>
          <w:r>
            <w:rPr>
              <w:rFonts w:hint="eastAsia"/>
              <w:lang w:val="en-US" w:eastAsia="zh-CN"/>
            </w:rPr>
            <w:fldChar w:fldCharType="separate"/>
          </w:r>
          <w:r>
            <w:rPr>
              <w:rFonts w:hint="eastAsia" w:ascii="楷体_GB2312" w:hAnsi="楷体_GB2312" w:eastAsia="楷体_GB2312" w:cs="楷体_GB2312"/>
              <w:szCs w:val="32"/>
              <w:lang w:val="en-US" w:eastAsia="zh-CN"/>
            </w:rPr>
            <w:t>（一）一般公共预算当年拨款规模变化情况</w:t>
          </w:r>
          <w:r>
            <w:tab/>
          </w:r>
          <w:r>
            <w:fldChar w:fldCharType="begin"/>
          </w:r>
          <w:r>
            <w:instrText xml:space="preserve"> PAGEREF _Toc8604 \h </w:instrText>
          </w:r>
          <w:r>
            <w:fldChar w:fldCharType="separate"/>
          </w:r>
          <w:r>
            <w:t>11</w:t>
          </w:r>
          <w:r>
            <w:fldChar w:fldCharType="end"/>
          </w:r>
          <w:r>
            <w:rPr>
              <w:rFonts w:hint="eastAsia"/>
              <w:lang w:val="en-US" w:eastAsia="zh-CN"/>
            </w:rPr>
            <w:fldChar w:fldCharType="end"/>
          </w:r>
        </w:p>
        <w:p>
          <w:pPr>
            <w:pStyle w:val="21"/>
            <w:pageBreakBefore w:val="0"/>
            <w:tabs>
              <w:tab w:val="right" w:leader="dot" w:pos="8958"/>
            </w:tabs>
            <w:kinsoku/>
            <w:wordWrap/>
            <w:overflowPunct/>
            <w:topLinePunct w:val="0"/>
            <w:autoSpaceDE/>
            <w:autoSpaceDN/>
            <w:bidi w:val="0"/>
            <w:adjustRightInd/>
            <w:snapToGrid/>
            <w:spacing w:line="460" w:lineRule="exact"/>
            <w:textAlignment w:val="auto"/>
          </w:pPr>
          <w:r>
            <w:rPr>
              <w:rFonts w:hint="eastAsia"/>
              <w:lang w:val="en-US" w:eastAsia="zh-CN"/>
            </w:rPr>
            <w:fldChar w:fldCharType="begin"/>
          </w:r>
          <w:r>
            <w:rPr>
              <w:rFonts w:hint="eastAsia"/>
              <w:lang w:val="en-US" w:eastAsia="zh-CN"/>
            </w:rPr>
            <w:instrText xml:space="preserve"> HYPERLINK \l _Toc17192 </w:instrText>
          </w:r>
          <w:r>
            <w:rPr>
              <w:rFonts w:hint="eastAsia"/>
              <w:lang w:val="en-US" w:eastAsia="zh-CN"/>
            </w:rPr>
            <w:fldChar w:fldCharType="separate"/>
          </w:r>
          <w:r>
            <w:rPr>
              <w:rFonts w:hint="eastAsia" w:ascii="楷体_GB2312" w:hAnsi="楷体_GB2312" w:eastAsia="楷体_GB2312" w:cs="楷体_GB2312"/>
              <w:szCs w:val="32"/>
              <w:lang w:val="en-US" w:eastAsia="zh-CN"/>
            </w:rPr>
            <w:t>（二） 一般公共预算当年拨款结构情况</w:t>
          </w:r>
          <w:r>
            <w:tab/>
          </w:r>
          <w:r>
            <w:fldChar w:fldCharType="begin"/>
          </w:r>
          <w:r>
            <w:instrText xml:space="preserve"> PAGEREF _Toc17192 \h </w:instrText>
          </w:r>
          <w:r>
            <w:fldChar w:fldCharType="separate"/>
          </w:r>
          <w:r>
            <w:t>12</w:t>
          </w:r>
          <w:r>
            <w:fldChar w:fldCharType="end"/>
          </w:r>
          <w:r>
            <w:rPr>
              <w:rFonts w:hint="eastAsia"/>
              <w:lang w:val="en-US" w:eastAsia="zh-CN"/>
            </w:rPr>
            <w:fldChar w:fldCharType="end"/>
          </w:r>
        </w:p>
        <w:p>
          <w:pPr>
            <w:pStyle w:val="21"/>
            <w:pageBreakBefore w:val="0"/>
            <w:tabs>
              <w:tab w:val="right" w:leader="dot" w:pos="8958"/>
            </w:tabs>
            <w:kinsoku/>
            <w:wordWrap/>
            <w:overflowPunct/>
            <w:topLinePunct w:val="0"/>
            <w:autoSpaceDE/>
            <w:autoSpaceDN/>
            <w:bidi w:val="0"/>
            <w:adjustRightInd/>
            <w:snapToGrid/>
            <w:spacing w:line="460" w:lineRule="exact"/>
            <w:textAlignment w:val="auto"/>
          </w:pPr>
          <w:r>
            <w:rPr>
              <w:rFonts w:hint="eastAsia"/>
              <w:lang w:val="en-US" w:eastAsia="zh-CN"/>
            </w:rPr>
            <w:fldChar w:fldCharType="begin"/>
          </w:r>
          <w:r>
            <w:rPr>
              <w:rFonts w:hint="eastAsia"/>
              <w:lang w:val="en-US" w:eastAsia="zh-CN"/>
            </w:rPr>
            <w:instrText xml:space="preserve"> HYPERLINK \l _Toc8423 </w:instrText>
          </w:r>
          <w:r>
            <w:rPr>
              <w:rFonts w:hint="eastAsia"/>
              <w:lang w:val="en-US" w:eastAsia="zh-CN"/>
            </w:rPr>
            <w:fldChar w:fldCharType="separate"/>
          </w:r>
          <w:r>
            <w:rPr>
              <w:rFonts w:hint="eastAsia" w:ascii="楷体_GB2312" w:hAnsi="楷体_GB2312" w:eastAsia="楷体_GB2312" w:cs="楷体_GB2312"/>
              <w:szCs w:val="32"/>
              <w:lang w:val="en-US" w:eastAsia="zh-CN"/>
            </w:rPr>
            <w:t>（三） 一般公共预算当年拨款具体使用情况</w:t>
          </w:r>
          <w:r>
            <w:tab/>
          </w:r>
          <w:r>
            <w:fldChar w:fldCharType="begin"/>
          </w:r>
          <w:r>
            <w:instrText xml:space="preserve"> PAGEREF _Toc8423 \h </w:instrText>
          </w:r>
          <w:r>
            <w:fldChar w:fldCharType="separate"/>
          </w:r>
          <w:r>
            <w:t>12</w:t>
          </w:r>
          <w:r>
            <w:fldChar w:fldCharType="end"/>
          </w:r>
          <w:r>
            <w:rPr>
              <w:rFonts w:hint="eastAsia"/>
              <w:lang w:val="en-US" w:eastAsia="zh-CN"/>
            </w:rPr>
            <w:fldChar w:fldCharType="end"/>
          </w:r>
        </w:p>
        <w:p>
          <w:pPr>
            <w:pStyle w:val="20"/>
            <w:pageBreakBefore w:val="0"/>
            <w:tabs>
              <w:tab w:val="right" w:leader="dot" w:pos="8958"/>
            </w:tabs>
            <w:kinsoku/>
            <w:wordWrap/>
            <w:overflowPunct/>
            <w:topLinePunct w:val="0"/>
            <w:autoSpaceDE/>
            <w:autoSpaceDN/>
            <w:bidi w:val="0"/>
            <w:adjustRightInd/>
            <w:snapToGrid/>
            <w:spacing w:line="460" w:lineRule="exact"/>
            <w:textAlignment w:val="auto"/>
            <w:rPr>
              <w:b/>
            </w:rPr>
          </w:pPr>
          <w:r>
            <w:rPr>
              <w:rFonts w:hint="eastAsia"/>
              <w:b/>
              <w:lang w:val="en-US" w:eastAsia="zh-CN"/>
            </w:rPr>
            <w:fldChar w:fldCharType="begin"/>
          </w:r>
          <w:r>
            <w:rPr>
              <w:rFonts w:hint="eastAsia"/>
              <w:b/>
              <w:lang w:val="en-US" w:eastAsia="zh-CN"/>
            </w:rPr>
            <w:instrText xml:space="preserve"> HYPERLINK \l _Toc23923 </w:instrText>
          </w:r>
          <w:r>
            <w:rPr>
              <w:rFonts w:hint="eastAsia"/>
              <w:b/>
              <w:lang w:val="en-US" w:eastAsia="zh-CN"/>
            </w:rPr>
            <w:fldChar w:fldCharType="separate"/>
          </w:r>
          <w:r>
            <w:rPr>
              <w:rFonts w:hint="eastAsia" w:ascii="黑体" w:hAnsi="黑体" w:eastAsia="黑体" w:cs="黑体"/>
              <w:b/>
              <w:szCs w:val="32"/>
              <w:lang w:val="en-US" w:eastAsia="zh-CN"/>
            </w:rPr>
            <w:t>六、一般公共预算基本支出情况说明</w:t>
          </w:r>
          <w:r>
            <w:rPr>
              <w:b/>
            </w:rPr>
            <w:tab/>
          </w:r>
          <w:r>
            <w:rPr>
              <w:b/>
            </w:rPr>
            <w:fldChar w:fldCharType="begin"/>
          </w:r>
          <w:r>
            <w:rPr>
              <w:b/>
            </w:rPr>
            <w:instrText xml:space="preserve"> PAGEREF _Toc23923 \h </w:instrText>
          </w:r>
          <w:r>
            <w:rPr>
              <w:b/>
            </w:rPr>
            <w:fldChar w:fldCharType="separate"/>
          </w:r>
          <w:r>
            <w:rPr>
              <w:b/>
            </w:rPr>
            <w:t>12</w:t>
          </w:r>
          <w:r>
            <w:rPr>
              <w:b/>
            </w:rPr>
            <w:fldChar w:fldCharType="end"/>
          </w:r>
          <w:r>
            <w:rPr>
              <w:rFonts w:hint="eastAsia"/>
              <w:b/>
              <w:lang w:val="en-US" w:eastAsia="zh-CN"/>
            </w:rPr>
            <w:fldChar w:fldCharType="end"/>
          </w:r>
        </w:p>
        <w:p>
          <w:pPr>
            <w:pStyle w:val="20"/>
            <w:pageBreakBefore w:val="0"/>
            <w:tabs>
              <w:tab w:val="right" w:leader="dot" w:pos="8958"/>
            </w:tabs>
            <w:kinsoku/>
            <w:wordWrap/>
            <w:overflowPunct/>
            <w:topLinePunct w:val="0"/>
            <w:autoSpaceDE/>
            <w:autoSpaceDN/>
            <w:bidi w:val="0"/>
            <w:adjustRightInd/>
            <w:snapToGrid/>
            <w:spacing w:line="460" w:lineRule="exact"/>
            <w:textAlignment w:val="auto"/>
            <w:rPr>
              <w:b/>
            </w:rPr>
          </w:pPr>
          <w:r>
            <w:rPr>
              <w:rFonts w:hint="eastAsia"/>
              <w:b/>
              <w:lang w:val="en-US" w:eastAsia="zh-CN"/>
            </w:rPr>
            <w:fldChar w:fldCharType="begin"/>
          </w:r>
          <w:r>
            <w:rPr>
              <w:rFonts w:hint="eastAsia"/>
              <w:b/>
              <w:lang w:val="en-US" w:eastAsia="zh-CN"/>
            </w:rPr>
            <w:instrText xml:space="preserve"> HYPERLINK \l _Toc4006 </w:instrText>
          </w:r>
          <w:r>
            <w:rPr>
              <w:rFonts w:hint="eastAsia"/>
              <w:b/>
              <w:lang w:val="en-US" w:eastAsia="zh-CN"/>
            </w:rPr>
            <w:fldChar w:fldCharType="separate"/>
          </w:r>
          <w:r>
            <w:rPr>
              <w:rFonts w:hint="eastAsia" w:ascii="黑体" w:hAnsi="黑体" w:eastAsia="黑体" w:cs="黑体"/>
              <w:b/>
              <w:szCs w:val="32"/>
              <w:lang w:val="en-US" w:eastAsia="zh-CN"/>
            </w:rPr>
            <w:t>七、 “三公”经费财政拨款预算安排情况说明</w:t>
          </w:r>
          <w:r>
            <w:rPr>
              <w:b/>
            </w:rPr>
            <w:tab/>
          </w:r>
          <w:r>
            <w:rPr>
              <w:b/>
            </w:rPr>
            <w:fldChar w:fldCharType="begin"/>
          </w:r>
          <w:r>
            <w:rPr>
              <w:b/>
            </w:rPr>
            <w:instrText xml:space="preserve"> PAGEREF _Toc4006 \h </w:instrText>
          </w:r>
          <w:r>
            <w:rPr>
              <w:b/>
            </w:rPr>
            <w:fldChar w:fldCharType="separate"/>
          </w:r>
          <w:r>
            <w:rPr>
              <w:b/>
            </w:rPr>
            <w:t>12</w:t>
          </w:r>
          <w:r>
            <w:rPr>
              <w:b/>
            </w:rPr>
            <w:fldChar w:fldCharType="end"/>
          </w:r>
          <w:r>
            <w:rPr>
              <w:rFonts w:hint="eastAsia"/>
              <w:b/>
              <w:lang w:val="en-US" w:eastAsia="zh-CN"/>
            </w:rPr>
            <w:fldChar w:fldCharType="end"/>
          </w:r>
        </w:p>
        <w:p>
          <w:pPr>
            <w:pStyle w:val="21"/>
            <w:pageBreakBefore w:val="0"/>
            <w:tabs>
              <w:tab w:val="right" w:leader="dot" w:pos="8958"/>
            </w:tabs>
            <w:kinsoku/>
            <w:wordWrap/>
            <w:overflowPunct/>
            <w:topLinePunct w:val="0"/>
            <w:autoSpaceDE/>
            <w:autoSpaceDN/>
            <w:bidi w:val="0"/>
            <w:adjustRightInd/>
            <w:snapToGrid/>
            <w:spacing w:line="460" w:lineRule="exact"/>
            <w:textAlignment w:val="auto"/>
          </w:pPr>
          <w:r>
            <w:rPr>
              <w:rFonts w:hint="eastAsia"/>
              <w:lang w:val="en-US" w:eastAsia="zh-CN"/>
            </w:rPr>
            <w:fldChar w:fldCharType="begin"/>
          </w:r>
          <w:r>
            <w:rPr>
              <w:rFonts w:hint="eastAsia"/>
              <w:lang w:val="en-US" w:eastAsia="zh-CN"/>
            </w:rPr>
            <w:instrText xml:space="preserve"> HYPERLINK \l _Toc17915 </w:instrText>
          </w:r>
          <w:r>
            <w:rPr>
              <w:rFonts w:hint="eastAsia"/>
              <w:lang w:val="en-US" w:eastAsia="zh-CN"/>
            </w:rPr>
            <w:fldChar w:fldCharType="separate"/>
          </w:r>
          <w:r>
            <w:rPr>
              <w:rFonts w:hint="eastAsia" w:ascii="楷体_GB2312" w:hAnsi="Times New Roman" w:eastAsia="楷体_GB2312" w:cs="Times New Roman"/>
              <w:bCs/>
              <w:szCs w:val="32"/>
              <w:lang w:val="en-US" w:eastAsia="zh-CN"/>
            </w:rPr>
            <w:t>（一）公务接待费</w:t>
          </w:r>
          <w:r>
            <w:tab/>
          </w:r>
          <w:r>
            <w:fldChar w:fldCharType="begin"/>
          </w:r>
          <w:r>
            <w:instrText xml:space="preserve"> PAGEREF _Toc17915 \h </w:instrText>
          </w:r>
          <w:r>
            <w:fldChar w:fldCharType="separate"/>
          </w:r>
          <w:r>
            <w:t>12</w:t>
          </w:r>
          <w:r>
            <w:fldChar w:fldCharType="end"/>
          </w:r>
          <w:r>
            <w:rPr>
              <w:rFonts w:hint="eastAsia"/>
              <w:lang w:val="en-US" w:eastAsia="zh-CN"/>
            </w:rPr>
            <w:fldChar w:fldCharType="end"/>
          </w:r>
        </w:p>
        <w:p>
          <w:pPr>
            <w:pStyle w:val="21"/>
            <w:pageBreakBefore w:val="0"/>
            <w:tabs>
              <w:tab w:val="right" w:leader="dot" w:pos="8958"/>
            </w:tabs>
            <w:kinsoku/>
            <w:wordWrap/>
            <w:overflowPunct/>
            <w:topLinePunct w:val="0"/>
            <w:autoSpaceDE/>
            <w:autoSpaceDN/>
            <w:bidi w:val="0"/>
            <w:adjustRightInd/>
            <w:snapToGrid/>
            <w:spacing w:line="460" w:lineRule="exact"/>
            <w:textAlignment w:val="auto"/>
          </w:pPr>
          <w:r>
            <w:rPr>
              <w:rFonts w:hint="eastAsia"/>
              <w:lang w:val="en-US" w:eastAsia="zh-CN"/>
            </w:rPr>
            <w:fldChar w:fldCharType="begin"/>
          </w:r>
          <w:r>
            <w:rPr>
              <w:rFonts w:hint="eastAsia"/>
              <w:lang w:val="en-US" w:eastAsia="zh-CN"/>
            </w:rPr>
            <w:instrText xml:space="preserve"> HYPERLINK \l _Toc28389 </w:instrText>
          </w:r>
          <w:r>
            <w:rPr>
              <w:rFonts w:hint="eastAsia"/>
              <w:lang w:val="en-US" w:eastAsia="zh-CN"/>
            </w:rPr>
            <w:fldChar w:fldCharType="separate"/>
          </w:r>
          <w:r>
            <w:rPr>
              <w:rFonts w:hint="eastAsia" w:ascii="楷体_GB2312" w:hAnsi="Times New Roman" w:eastAsia="楷体_GB2312" w:cs="Times New Roman"/>
              <w:bCs/>
              <w:szCs w:val="32"/>
              <w:lang w:val="en-US" w:eastAsia="zh-CN"/>
            </w:rPr>
            <w:t>（二）公务用车购置及运行维护费</w:t>
          </w:r>
          <w:r>
            <w:tab/>
          </w:r>
          <w:r>
            <w:fldChar w:fldCharType="begin"/>
          </w:r>
          <w:r>
            <w:instrText xml:space="preserve"> PAGEREF _Toc28389 \h </w:instrText>
          </w:r>
          <w:r>
            <w:fldChar w:fldCharType="separate"/>
          </w:r>
          <w:r>
            <w:t>12</w:t>
          </w:r>
          <w:r>
            <w:fldChar w:fldCharType="end"/>
          </w:r>
          <w:r>
            <w:rPr>
              <w:rFonts w:hint="eastAsia"/>
              <w:lang w:val="en-US" w:eastAsia="zh-CN"/>
            </w:rPr>
            <w:fldChar w:fldCharType="end"/>
          </w:r>
        </w:p>
        <w:p>
          <w:pPr>
            <w:pStyle w:val="21"/>
            <w:pageBreakBefore w:val="0"/>
            <w:tabs>
              <w:tab w:val="right" w:leader="dot" w:pos="8958"/>
            </w:tabs>
            <w:kinsoku/>
            <w:wordWrap/>
            <w:overflowPunct/>
            <w:topLinePunct w:val="0"/>
            <w:autoSpaceDE/>
            <w:autoSpaceDN/>
            <w:bidi w:val="0"/>
            <w:adjustRightInd/>
            <w:snapToGrid/>
            <w:spacing w:line="460" w:lineRule="exact"/>
            <w:textAlignment w:val="auto"/>
          </w:pPr>
          <w:r>
            <w:rPr>
              <w:rFonts w:hint="eastAsia"/>
              <w:lang w:val="en-US" w:eastAsia="zh-CN"/>
            </w:rPr>
            <w:fldChar w:fldCharType="begin"/>
          </w:r>
          <w:r>
            <w:rPr>
              <w:rFonts w:hint="eastAsia"/>
              <w:lang w:val="en-US" w:eastAsia="zh-CN"/>
            </w:rPr>
            <w:instrText xml:space="preserve"> HYPERLINK \l _Toc14427 </w:instrText>
          </w:r>
          <w:r>
            <w:rPr>
              <w:rFonts w:hint="eastAsia"/>
              <w:lang w:val="en-US" w:eastAsia="zh-CN"/>
            </w:rPr>
            <w:fldChar w:fldCharType="separate"/>
          </w:r>
          <w:r>
            <w:rPr>
              <w:rFonts w:hint="eastAsia" w:ascii="楷体_GB2312" w:hAnsi="Times New Roman" w:eastAsia="楷体_GB2312" w:cs="Times New Roman"/>
              <w:bCs/>
              <w:szCs w:val="32"/>
              <w:lang w:val="en-US" w:eastAsia="zh-CN"/>
            </w:rPr>
            <w:t>（三）因公出国（境）经费</w:t>
          </w:r>
          <w:r>
            <w:tab/>
          </w:r>
          <w:r>
            <w:fldChar w:fldCharType="begin"/>
          </w:r>
          <w:r>
            <w:instrText xml:space="preserve"> PAGEREF _Toc14427 \h </w:instrText>
          </w:r>
          <w:r>
            <w:fldChar w:fldCharType="separate"/>
          </w:r>
          <w:r>
            <w:t>13</w:t>
          </w:r>
          <w:r>
            <w:fldChar w:fldCharType="end"/>
          </w:r>
          <w:r>
            <w:rPr>
              <w:rFonts w:hint="eastAsia"/>
              <w:lang w:val="en-US" w:eastAsia="zh-CN"/>
            </w:rPr>
            <w:fldChar w:fldCharType="end"/>
          </w:r>
        </w:p>
        <w:p>
          <w:pPr>
            <w:pStyle w:val="20"/>
            <w:pageBreakBefore w:val="0"/>
            <w:tabs>
              <w:tab w:val="right" w:leader="dot" w:pos="8958"/>
            </w:tabs>
            <w:kinsoku/>
            <w:wordWrap/>
            <w:overflowPunct/>
            <w:topLinePunct w:val="0"/>
            <w:autoSpaceDE/>
            <w:autoSpaceDN/>
            <w:bidi w:val="0"/>
            <w:adjustRightInd/>
            <w:snapToGrid/>
            <w:spacing w:line="460" w:lineRule="exact"/>
            <w:textAlignment w:val="auto"/>
            <w:rPr>
              <w:b/>
            </w:rPr>
          </w:pPr>
          <w:r>
            <w:rPr>
              <w:rFonts w:hint="eastAsia"/>
              <w:b/>
              <w:lang w:val="en-US" w:eastAsia="zh-CN"/>
            </w:rPr>
            <w:fldChar w:fldCharType="begin"/>
          </w:r>
          <w:r>
            <w:rPr>
              <w:rFonts w:hint="eastAsia"/>
              <w:b/>
              <w:lang w:val="en-US" w:eastAsia="zh-CN"/>
            </w:rPr>
            <w:instrText xml:space="preserve"> HYPERLINK \l _Toc22411 </w:instrText>
          </w:r>
          <w:r>
            <w:rPr>
              <w:rFonts w:hint="eastAsia"/>
              <w:b/>
              <w:lang w:val="en-US" w:eastAsia="zh-CN"/>
            </w:rPr>
            <w:fldChar w:fldCharType="separate"/>
          </w:r>
          <w:r>
            <w:rPr>
              <w:rFonts w:hint="eastAsia" w:ascii="黑体" w:hAnsi="黑体" w:eastAsia="黑体" w:cs="黑体"/>
              <w:b/>
              <w:szCs w:val="32"/>
              <w:lang w:val="en-US" w:eastAsia="zh-CN"/>
            </w:rPr>
            <w:t>八、 政府性基金预算支出情况说明</w:t>
          </w:r>
          <w:r>
            <w:rPr>
              <w:b/>
            </w:rPr>
            <w:tab/>
          </w:r>
          <w:r>
            <w:rPr>
              <w:b/>
            </w:rPr>
            <w:fldChar w:fldCharType="begin"/>
          </w:r>
          <w:r>
            <w:rPr>
              <w:b/>
            </w:rPr>
            <w:instrText xml:space="preserve"> PAGEREF _Toc22411 \h </w:instrText>
          </w:r>
          <w:r>
            <w:rPr>
              <w:b/>
            </w:rPr>
            <w:fldChar w:fldCharType="separate"/>
          </w:r>
          <w:r>
            <w:rPr>
              <w:b/>
            </w:rPr>
            <w:t>13</w:t>
          </w:r>
          <w:r>
            <w:rPr>
              <w:b/>
            </w:rPr>
            <w:fldChar w:fldCharType="end"/>
          </w:r>
          <w:r>
            <w:rPr>
              <w:rFonts w:hint="eastAsia"/>
              <w:b/>
              <w:lang w:val="en-US" w:eastAsia="zh-CN"/>
            </w:rPr>
            <w:fldChar w:fldCharType="end"/>
          </w:r>
        </w:p>
        <w:p>
          <w:pPr>
            <w:pStyle w:val="20"/>
            <w:pageBreakBefore w:val="0"/>
            <w:tabs>
              <w:tab w:val="right" w:leader="dot" w:pos="8958"/>
            </w:tabs>
            <w:kinsoku/>
            <w:wordWrap/>
            <w:overflowPunct/>
            <w:topLinePunct w:val="0"/>
            <w:autoSpaceDE/>
            <w:autoSpaceDN/>
            <w:bidi w:val="0"/>
            <w:adjustRightInd/>
            <w:snapToGrid/>
            <w:spacing w:line="460" w:lineRule="exact"/>
            <w:textAlignment w:val="auto"/>
            <w:rPr>
              <w:b/>
            </w:rPr>
          </w:pPr>
          <w:r>
            <w:rPr>
              <w:rFonts w:hint="eastAsia"/>
              <w:b/>
              <w:lang w:val="en-US" w:eastAsia="zh-CN"/>
            </w:rPr>
            <w:fldChar w:fldCharType="begin"/>
          </w:r>
          <w:r>
            <w:rPr>
              <w:rFonts w:hint="eastAsia"/>
              <w:b/>
              <w:lang w:val="en-US" w:eastAsia="zh-CN"/>
            </w:rPr>
            <w:instrText xml:space="preserve"> HYPERLINK \l _Toc28337 </w:instrText>
          </w:r>
          <w:r>
            <w:rPr>
              <w:rFonts w:hint="eastAsia"/>
              <w:b/>
              <w:lang w:val="en-US" w:eastAsia="zh-CN"/>
            </w:rPr>
            <w:fldChar w:fldCharType="separate"/>
          </w:r>
          <w:r>
            <w:rPr>
              <w:rFonts w:hint="eastAsia" w:ascii="黑体" w:hAnsi="黑体" w:eastAsia="黑体" w:cs="黑体"/>
              <w:b/>
              <w:szCs w:val="32"/>
              <w:lang w:val="en-US" w:eastAsia="zh-CN"/>
            </w:rPr>
            <w:t>九、 国有资本经营预算支出情况说明</w:t>
          </w:r>
          <w:r>
            <w:rPr>
              <w:b/>
            </w:rPr>
            <w:tab/>
          </w:r>
          <w:r>
            <w:rPr>
              <w:b/>
            </w:rPr>
            <w:fldChar w:fldCharType="begin"/>
          </w:r>
          <w:r>
            <w:rPr>
              <w:b/>
            </w:rPr>
            <w:instrText xml:space="preserve"> PAGEREF _Toc28337 \h </w:instrText>
          </w:r>
          <w:r>
            <w:rPr>
              <w:b/>
            </w:rPr>
            <w:fldChar w:fldCharType="separate"/>
          </w:r>
          <w:r>
            <w:rPr>
              <w:b/>
            </w:rPr>
            <w:t>13</w:t>
          </w:r>
          <w:r>
            <w:rPr>
              <w:b/>
            </w:rPr>
            <w:fldChar w:fldCharType="end"/>
          </w:r>
          <w:r>
            <w:rPr>
              <w:rFonts w:hint="eastAsia"/>
              <w:b/>
              <w:lang w:val="en-US" w:eastAsia="zh-CN"/>
            </w:rPr>
            <w:fldChar w:fldCharType="end"/>
          </w:r>
        </w:p>
        <w:p>
          <w:pPr>
            <w:pStyle w:val="20"/>
            <w:pageBreakBefore w:val="0"/>
            <w:tabs>
              <w:tab w:val="right" w:leader="dot" w:pos="8958"/>
            </w:tabs>
            <w:kinsoku/>
            <w:wordWrap/>
            <w:overflowPunct/>
            <w:topLinePunct w:val="0"/>
            <w:autoSpaceDE/>
            <w:autoSpaceDN/>
            <w:bidi w:val="0"/>
            <w:adjustRightInd/>
            <w:snapToGrid/>
            <w:spacing w:line="460" w:lineRule="exact"/>
            <w:textAlignment w:val="auto"/>
            <w:rPr>
              <w:b/>
            </w:rPr>
          </w:pPr>
          <w:r>
            <w:rPr>
              <w:rFonts w:hint="eastAsia"/>
              <w:b/>
              <w:lang w:val="en-US" w:eastAsia="zh-CN"/>
            </w:rPr>
            <w:fldChar w:fldCharType="begin"/>
          </w:r>
          <w:r>
            <w:rPr>
              <w:rFonts w:hint="eastAsia"/>
              <w:b/>
              <w:lang w:val="en-US" w:eastAsia="zh-CN"/>
            </w:rPr>
            <w:instrText xml:space="preserve"> HYPERLINK \l _Toc21709 </w:instrText>
          </w:r>
          <w:r>
            <w:rPr>
              <w:rFonts w:hint="eastAsia"/>
              <w:b/>
              <w:lang w:val="en-US" w:eastAsia="zh-CN"/>
            </w:rPr>
            <w:fldChar w:fldCharType="separate"/>
          </w:r>
          <w:r>
            <w:rPr>
              <w:rFonts w:hint="eastAsia" w:ascii="黑体" w:hAnsi="黑体" w:eastAsia="黑体" w:cs="黑体"/>
              <w:b/>
              <w:szCs w:val="32"/>
              <w:lang w:val="en-US" w:eastAsia="zh-CN"/>
            </w:rPr>
            <w:t>十、 其他重要事项的情况说明</w:t>
          </w:r>
          <w:r>
            <w:rPr>
              <w:b/>
            </w:rPr>
            <w:tab/>
          </w:r>
          <w:r>
            <w:rPr>
              <w:b/>
            </w:rPr>
            <w:fldChar w:fldCharType="begin"/>
          </w:r>
          <w:r>
            <w:rPr>
              <w:b/>
            </w:rPr>
            <w:instrText xml:space="preserve"> PAGEREF _Toc21709 \h </w:instrText>
          </w:r>
          <w:r>
            <w:rPr>
              <w:b/>
            </w:rPr>
            <w:fldChar w:fldCharType="separate"/>
          </w:r>
          <w:r>
            <w:rPr>
              <w:b/>
            </w:rPr>
            <w:t>13</w:t>
          </w:r>
          <w:r>
            <w:rPr>
              <w:b/>
            </w:rPr>
            <w:fldChar w:fldCharType="end"/>
          </w:r>
          <w:r>
            <w:rPr>
              <w:rFonts w:hint="eastAsia"/>
              <w:b/>
              <w:lang w:val="en-US" w:eastAsia="zh-CN"/>
            </w:rPr>
            <w:fldChar w:fldCharType="end"/>
          </w:r>
        </w:p>
        <w:p>
          <w:pPr>
            <w:pStyle w:val="21"/>
            <w:pageBreakBefore w:val="0"/>
            <w:tabs>
              <w:tab w:val="right" w:leader="dot" w:pos="8958"/>
            </w:tabs>
            <w:kinsoku/>
            <w:wordWrap/>
            <w:overflowPunct/>
            <w:topLinePunct w:val="0"/>
            <w:autoSpaceDE/>
            <w:autoSpaceDN/>
            <w:bidi w:val="0"/>
            <w:adjustRightInd/>
            <w:snapToGrid/>
            <w:spacing w:line="460" w:lineRule="exact"/>
            <w:textAlignment w:val="auto"/>
          </w:pPr>
          <w:r>
            <w:rPr>
              <w:rFonts w:hint="eastAsia"/>
              <w:lang w:val="en-US" w:eastAsia="zh-CN"/>
            </w:rPr>
            <w:fldChar w:fldCharType="begin"/>
          </w:r>
          <w:r>
            <w:rPr>
              <w:rFonts w:hint="eastAsia"/>
              <w:lang w:val="en-US" w:eastAsia="zh-CN"/>
            </w:rPr>
            <w:instrText xml:space="preserve"> HYPERLINK \l _Toc17091 </w:instrText>
          </w:r>
          <w:r>
            <w:rPr>
              <w:rFonts w:hint="eastAsia"/>
              <w:lang w:val="en-US" w:eastAsia="zh-CN"/>
            </w:rPr>
            <w:fldChar w:fldCharType="separate"/>
          </w:r>
          <w:r>
            <w:rPr>
              <w:rFonts w:hint="eastAsia" w:ascii="仿宋_GB2312" w:hAnsi="仿宋_GB2312" w:eastAsia="仿宋_GB2312" w:cs="仿宋_GB2312"/>
              <w:szCs w:val="32"/>
              <w:lang w:val="en-US" w:eastAsia="zh-CN"/>
            </w:rPr>
            <w:t xml:space="preserve">（一） </w:t>
          </w:r>
          <w:r>
            <w:rPr>
              <w:rFonts w:hint="eastAsia" w:ascii="楷体_GB2312" w:hAnsi="楷体_GB2312" w:eastAsia="楷体_GB2312" w:cs="楷体_GB2312"/>
              <w:szCs w:val="32"/>
              <w:lang w:val="en-US" w:eastAsia="zh-CN"/>
            </w:rPr>
            <w:t>机关运行经费</w:t>
          </w:r>
          <w:r>
            <w:tab/>
          </w:r>
          <w:r>
            <w:fldChar w:fldCharType="begin"/>
          </w:r>
          <w:r>
            <w:instrText xml:space="preserve"> PAGEREF _Toc17091 \h </w:instrText>
          </w:r>
          <w:r>
            <w:fldChar w:fldCharType="separate"/>
          </w:r>
          <w:r>
            <w:t>13</w:t>
          </w:r>
          <w:r>
            <w:fldChar w:fldCharType="end"/>
          </w:r>
          <w:r>
            <w:rPr>
              <w:rFonts w:hint="eastAsia"/>
              <w:lang w:val="en-US" w:eastAsia="zh-CN"/>
            </w:rPr>
            <w:fldChar w:fldCharType="end"/>
          </w:r>
        </w:p>
        <w:p>
          <w:pPr>
            <w:pStyle w:val="21"/>
            <w:pageBreakBefore w:val="0"/>
            <w:tabs>
              <w:tab w:val="right" w:leader="dot" w:pos="8958"/>
            </w:tabs>
            <w:kinsoku/>
            <w:wordWrap/>
            <w:overflowPunct/>
            <w:topLinePunct w:val="0"/>
            <w:autoSpaceDE/>
            <w:autoSpaceDN/>
            <w:bidi w:val="0"/>
            <w:adjustRightInd/>
            <w:snapToGrid/>
            <w:spacing w:line="460" w:lineRule="exact"/>
            <w:textAlignment w:val="auto"/>
          </w:pPr>
          <w:r>
            <w:rPr>
              <w:rFonts w:hint="eastAsia"/>
              <w:lang w:val="en-US" w:eastAsia="zh-CN"/>
            </w:rPr>
            <w:fldChar w:fldCharType="begin"/>
          </w:r>
          <w:r>
            <w:rPr>
              <w:rFonts w:hint="eastAsia"/>
              <w:lang w:val="en-US" w:eastAsia="zh-CN"/>
            </w:rPr>
            <w:instrText xml:space="preserve"> HYPERLINK \l _Toc28461 </w:instrText>
          </w:r>
          <w:r>
            <w:rPr>
              <w:rFonts w:hint="eastAsia"/>
              <w:lang w:val="en-US" w:eastAsia="zh-CN"/>
            </w:rPr>
            <w:fldChar w:fldCharType="separate"/>
          </w:r>
          <w:r>
            <w:rPr>
              <w:rFonts w:hint="eastAsia" w:ascii="楷体_GB2312" w:hAnsi="楷体_GB2312" w:eastAsia="楷体_GB2312" w:cs="楷体_GB2312"/>
              <w:szCs w:val="32"/>
              <w:lang w:val="en-US" w:eastAsia="zh-CN"/>
            </w:rPr>
            <w:t>（二） 政府采购情况</w:t>
          </w:r>
          <w:r>
            <w:tab/>
          </w:r>
          <w:r>
            <w:fldChar w:fldCharType="begin"/>
          </w:r>
          <w:r>
            <w:instrText xml:space="preserve"> PAGEREF _Toc28461 \h </w:instrText>
          </w:r>
          <w:r>
            <w:fldChar w:fldCharType="separate"/>
          </w:r>
          <w:r>
            <w:t>13</w:t>
          </w:r>
          <w:r>
            <w:fldChar w:fldCharType="end"/>
          </w:r>
          <w:r>
            <w:rPr>
              <w:rFonts w:hint="eastAsia"/>
              <w:lang w:val="en-US" w:eastAsia="zh-CN"/>
            </w:rPr>
            <w:fldChar w:fldCharType="end"/>
          </w:r>
        </w:p>
        <w:p>
          <w:pPr>
            <w:pStyle w:val="21"/>
            <w:pageBreakBefore w:val="0"/>
            <w:tabs>
              <w:tab w:val="right" w:leader="dot" w:pos="8958"/>
            </w:tabs>
            <w:kinsoku/>
            <w:wordWrap/>
            <w:overflowPunct/>
            <w:topLinePunct w:val="0"/>
            <w:autoSpaceDE/>
            <w:autoSpaceDN/>
            <w:bidi w:val="0"/>
            <w:adjustRightInd/>
            <w:snapToGrid/>
            <w:spacing w:line="460" w:lineRule="exact"/>
            <w:textAlignment w:val="auto"/>
          </w:pPr>
          <w:r>
            <w:rPr>
              <w:rFonts w:hint="eastAsia"/>
              <w:lang w:val="en-US" w:eastAsia="zh-CN"/>
            </w:rPr>
            <w:fldChar w:fldCharType="begin"/>
          </w:r>
          <w:r>
            <w:rPr>
              <w:rFonts w:hint="eastAsia"/>
              <w:lang w:val="en-US" w:eastAsia="zh-CN"/>
            </w:rPr>
            <w:instrText xml:space="preserve"> HYPERLINK \l _Toc16764 </w:instrText>
          </w:r>
          <w:r>
            <w:rPr>
              <w:rFonts w:hint="eastAsia"/>
              <w:lang w:val="en-US" w:eastAsia="zh-CN"/>
            </w:rPr>
            <w:fldChar w:fldCharType="separate"/>
          </w:r>
          <w:r>
            <w:rPr>
              <w:rFonts w:hint="eastAsia" w:ascii="楷体_GB2312" w:hAnsi="楷体_GB2312" w:eastAsia="楷体_GB2312" w:cs="楷体_GB2312"/>
              <w:szCs w:val="32"/>
              <w:lang w:val="en-US" w:eastAsia="zh-CN"/>
            </w:rPr>
            <w:t>（三）国有资产占有使用情况</w:t>
          </w:r>
          <w:r>
            <w:tab/>
          </w:r>
          <w:r>
            <w:fldChar w:fldCharType="begin"/>
          </w:r>
          <w:r>
            <w:instrText xml:space="preserve"> PAGEREF _Toc16764 \h </w:instrText>
          </w:r>
          <w:r>
            <w:fldChar w:fldCharType="separate"/>
          </w:r>
          <w:r>
            <w:t>14</w:t>
          </w:r>
          <w:r>
            <w:fldChar w:fldCharType="end"/>
          </w:r>
          <w:r>
            <w:rPr>
              <w:rFonts w:hint="eastAsia"/>
              <w:lang w:val="en-US" w:eastAsia="zh-CN"/>
            </w:rPr>
            <w:fldChar w:fldCharType="end"/>
          </w:r>
        </w:p>
        <w:p>
          <w:pPr>
            <w:pStyle w:val="21"/>
            <w:pageBreakBefore w:val="0"/>
            <w:tabs>
              <w:tab w:val="right" w:leader="dot" w:pos="8958"/>
            </w:tabs>
            <w:kinsoku/>
            <w:wordWrap/>
            <w:overflowPunct/>
            <w:topLinePunct w:val="0"/>
            <w:autoSpaceDE/>
            <w:autoSpaceDN/>
            <w:bidi w:val="0"/>
            <w:adjustRightInd/>
            <w:snapToGrid/>
            <w:spacing w:line="460" w:lineRule="exact"/>
            <w:textAlignment w:val="auto"/>
          </w:pPr>
          <w:r>
            <w:rPr>
              <w:rFonts w:hint="eastAsia"/>
              <w:lang w:val="en-US" w:eastAsia="zh-CN"/>
            </w:rPr>
            <w:fldChar w:fldCharType="begin"/>
          </w:r>
          <w:r>
            <w:rPr>
              <w:rFonts w:hint="eastAsia"/>
              <w:lang w:val="en-US" w:eastAsia="zh-CN"/>
            </w:rPr>
            <w:instrText xml:space="preserve"> HYPERLINK \l _Toc21657 </w:instrText>
          </w:r>
          <w:r>
            <w:rPr>
              <w:rFonts w:hint="eastAsia"/>
              <w:lang w:val="en-US" w:eastAsia="zh-CN"/>
            </w:rPr>
            <w:fldChar w:fldCharType="separate"/>
          </w:r>
          <w:r>
            <w:rPr>
              <w:rFonts w:hint="eastAsia" w:ascii="楷体_GB2312" w:hAnsi="楷体_GB2312" w:eastAsia="楷体_GB2312" w:cs="楷体_GB2312"/>
              <w:szCs w:val="32"/>
              <w:lang w:val="en-US" w:eastAsia="zh-CN"/>
            </w:rPr>
            <w:t>（四）绩效目标设置情况</w:t>
          </w:r>
          <w:r>
            <w:tab/>
          </w:r>
          <w:r>
            <w:fldChar w:fldCharType="begin"/>
          </w:r>
          <w:r>
            <w:instrText xml:space="preserve"> PAGEREF _Toc21657 \h </w:instrText>
          </w:r>
          <w:r>
            <w:fldChar w:fldCharType="separate"/>
          </w:r>
          <w:r>
            <w:t>14</w:t>
          </w:r>
          <w:r>
            <w:fldChar w:fldCharType="end"/>
          </w:r>
          <w:r>
            <w:rPr>
              <w:rFonts w:hint="eastAsia"/>
              <w:lang w:val="en-US" w:eastAsia="zh-CN"/>
            </w:rPr>
            <w:fldChar w:fldCharType="end"/>
          </w:r>
        </w:p>
        <w:p>
          <w:pPr>
            <w:pStyle w:val="20"/>
            <w:pageBreakBefore w:val="0"/>
            <w:tabs>
              <w:tab w:val="right" w:leader="dot" w:pos="8958"/>
            </w:tabs>
            <w:kinsoku/>
            <w:wordWrap/>
            <w:overflowPunct/>
            <w:topLinePunct w:val="0"/>
            <w:autoSpaceDE/>
            <w:autoSpaceDN/>
            <w:bidi w:val="0"/>
            <w:adjustRightInd/>
            <w:snapToGrid/>
            <w:spacing w:line="460" w:lineRule="exact"/>
            <w:textAlignment w:val="auto"/>
            <w:rPr>
              <w:b/>
            </w:rPr>
          </w:pPr>
          <w:r>
            <w:rPr>
              <w:rFonts w:hint="eastAsia"/>
              <w:b/>
              <w:lang w:val="en-US" w:eastAsia="zh-CN"/>
            </w:rPr>
            <w:fldChar w:fldCharType="begin"/>
          </w:r>
          <w:r>
            <w:rPr>
              <w:rFonts w:hint="eastAsia"/>
              <w:b/>
              <w:lang w:val="en-US" w:eastAsia="zh-CN"/>
            </w:rPr>
            <w:instrText xml:space="preserve"> HYPERLINK \l _Toc2834 </w:instrText>
          </w:r>
          <w:r>
            <w:rPr>
              <w:rFonts w:hint="eastAsia"/>
              <w:b/>
              <w:lang w:val="en-US" w:eastAsia="zh-CN"/>
            </w:rPr>
            <w:fldChar w:fldCharType="separate"/>
          </w:r>
          <w:r>
            <w:rPr>
              <w:rFonts w:hint="eastAsia" w:ascii="黑体" w:hAnsi="黑体" w:eastAsia="黑体" w:cs="黑体"/>
              <w:b/>
              <w:szCs w:val="32"/>
              <w:lang w:val="en-US" w:eastAsia="zh-CN"/>
            </w:rPr>
            <w:t>十一、名词解释</w:t>
          </w:r>
          <w:r>
            <w:rPr>
              <w:b/>
            </w:rPr>
            <w:tab/>
          </w:r>
          <w:r>
            <w:rPr>
              <w:b/>
            </w:rPr>
            <w:fldChar w:fldCharType="begin"/>
          </w:r>
          <w:r>
            <w:rPr>
              <w:b/>
            </w:rPr>
            <w:instrText xml:space="preserve"> PAGEREF _Toc2834 \h </w:instrText>
          </w:r>
          <w:r>
            <w:rPr>
              <w:b/>
            </w:rPr>
            <w:fldChar w:fldCharType="separate"/>
          </w:r>
          <w:r>
            <w:rPr>
              <w:b/>
            </w:rPr>
            <w:t>14</w:t>
          </w:r>
          <w:r>
            <w:rPr>
              <w:b/>
            </w:rPr>
            <w:fldChar w:fldCharType="end"/>
          </w:r>
          <w:r>
            <w:rPr>
              <w:rFonts w:hint="eastAsia"/>
              <w:b/>
              <w:lang w:val="en-US" w:eastAsia="zh-CN"/>
            </w:rPr>
            <w:fldChar w:fldCharType="end"/>
          </w:r>
        </w:p>
        <w:p>
          <w:pPr>
            <w:pStyle w:val="2"/>
            <w:pageBreakBefore w:val="0"/>
            <w:kinsoku/>
            <w:wordWrap/>
            <w:overflowPunct/>
            <w:topLinePunct w:val="0"/>
            <w:autoSpaceDE/>
            <w:autoSpaceDN/>
            <w:bidi w:val="0"/>
            <w:adjustRightInd/>
            <w:snapToGrid/>
            <w:spacing w:line="460" w:lineRule="exact"/>
            <w:textAlignment w:val="auto"/>
            <w:outlineLvl w:val="9"/>
            <w:rPr>
              <w:rFonts w:hint="eastAsia"/>
              <w:lang w:val="en-US" w:eastAsia="zh-CN"/>
            </w:rPr>
            <w:sectPr>
              <w:pgSz w:w="11906" w:h="16838"/>
              <w:pgMar w:top="2098" w:right="1474" w:bottom="1984" w:left="1474" w:header="720" w:footer="1559" w:gutter="0"/>
              <w:pgNumType w:fmt="decimal"/>
              <w:cols w:space="720" w:num="1"/>
              <w:docGrid w:type="lines" w:linePitch="312" w:charSpace="0"/>
            </w:sectPr>
          </w:pPr>
          <w:r>
            <w:rPr>
              <w:rFonts w:hint="eastAsia"/>
              <w:b/>
              <w:lang w:val="en-US" w:eastAsia="zh-CN"/>
            </w:rPr>
            <w:fldChar w:fldCharType="end"/>
          </w:r>
        </w:p>
      </w:sdtContent>
    </w:sdt>
    <w:p>
      <w:pPr>
        <w:rPr>
          <w:rFonts w:hint="eastAsia"/>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0" w:name="_Toc12115"/>
      <w:r>
        <w:rPr>
          <w:rFonts w:hint="eastAsia" w:ascii="黑体" w:hAnsi="黑体" w:eastAsia="黑体" w:cs="黑体"/>
          <w:sz w:val="32"/>
          <w:szCs w:val="32"/>
          <w:lang w:val="en-US" w:eastAsia="zh-CN"/>
        </w:rPr>
        <w:t>一、基本职能及主要工作</w:t>
      </w:r>
      <w:bookmarkEnd w:id="0"/>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1" w:name="_Toc7406"/>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eastAsia="zh-CN"/>
        </w:rPr>
        <w:t>广元市第一人民医院</w:t>
      </w:r>
      <w:r>
        <w:rPr>
          <w:rFonts w:hint="eastAsia" w:ascii="楷体_GB2312" w:hAnsi="楷体_GB2312" w:eastAsia="楷体_GB2312" w:cs="楷体_GB2312"/>
          <w:sz w:val="32"/>
          <w:szCs w:val="32"/>
        </w:rPr>
        <w:t>职能简介</w:t>
      </w:r>
      <w:bookmarkEnd w:id="1"/>
    </w:p>
    <w:p>
      <w:pPr>
        <w:shd w:val="clear"/>
        <w:suppressAutoHyphens/>
        <w:bidi w:val="0"/>
        <w:ind w:firstLine="640" w:firstLineChars="200"/>
        <w:rPr>
          <w:rFonts w:hint="eastAsia" w:ascii="仿宋_GB2312" w:hAnsi="Calibri" w:eastAsia="仿宋_GB2312" w:cs="Times New Roman"/>
          <w:sz w:val="32"/>
          <w:szCs w:val="32"/>
          <w:highlight w:val="none"/>
        </w:rPr>
      </w:pPr>
      <w:bookmarkStart w:id="2" w:name="_Toc2396"/>
      <w:bookmarkStart w:id="3" w:name="_Toc5059"/>
      <w:r>
        <w:rPr>
          <w:rFonts w:hint="eastAsia" w:ascii="仿宋_GB2312" w:hAnsi="仿宋_GB2312" w:eastAsia="仿宋_GB2312" w:cs="仿宋_GB2312"/>
          <w:sz w:val="32"/>
          <w:szCs w:val="32"/>
          <w:lang w:val="en-US" w:eastAsia="zh-CN"/>
        </w:rPr>
        <w:t>依照相关政府部门规定和要求，医院承担临床医疗、医学教育、医学科研、预防保健等任务，是川陕甘结合部医疗中心之一，西南医科大学、成都医学院等院校的临床教学医院，国家级住院医师规范化培训基地。</w:t>
      </w:r>
      <w:bookmarkEnd w:id="2"/>
      <w:bookmarkEnd w:id="3"/>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4" w:name="_Toc11029"/>
      <w:r>
        <w:rPr>
          <w:rFonts w:hint="eastAsia" w:ascii="楷体_GB2312" w:hAnsi="楷体_GB2312" w:eastAsia="楷体_GB2312" w:cs="楷体_GB2312"/>
          <w:sz w:val="32"/>
          <w:szCs w:val="32"/>
          <w:lang w:eastAsia="zh-CN"/>
        </w:rPr>
        <w:t>广元市第一人民医院</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4"/>
    </w:p>
    <w:p>
      <w:pPr>
        <w:pStyle w:val="8"/>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spacing w:before="130" w:beforeAutospacing="0" w:after="0" w:afterAutospacing="0" w:line="580" w:lineRule="atLeast"/>
        <w:ind w:right="0" w:rightChars="0" w:firstLine="640" w:firstLineChars="200"/>
        <w:jc w:val="both"/>
        <w:outlineLvl w:val="1"/>
        <w:rPr>
          <w:rFonts w:hint="eastAsia" w:ascii="仿宋_GB2312" w:hAnsi="Calibri" w:eastAsia="仿宋_GB2312" w:cs="Times New Roman"/>
          <w:kern w:val="2"/>
          <w:sz w:val="32"/>
          <w:szCs w:val="32"/>
          <w:highlight w:val="none"/>
          <w:lang w:val="en-US" w:eastAsia="zh-CN" w:bidi="ar-SA"/>
        </w:rPr>
      </w:pPr>
      <w:bookmarkStart w:id="5" w:name="_Toc20460"/>
      <w:bookmarkStart w:id="6" w:name="_Toc6061"/>
      <w:r>
        <w:rPr>
          <w:rFonts w:hint="eastAsia" w:ascii="仿宋_GB2312" w:hAnsi="Calibri" w:eastAsia="仿宋_GB2312" w:cs="Times New Roman"/>
          <w:kern w:val="2"/>
          <w:sz w:val="32"/>
          <w:szCs w:val="32"/>
          <w:highlight w:val="none"/>
          <w:lang w:val="en-US" w:eastAsia="zh-CN" w:bidi="ar-SA"/>
        </w:rPr>
        <w:t>1.大力实施党建引领行动，塑造医院高质量发展新优势</w:t>
      </w:r>
      <w:bookmarkEnd w:id="5"/>
      <w:bookmarkEnd w:id="6"/>
    </w:p>
    <w:p>
      <w:pPr>
        <w:shd w:val="clear"/>
        <w:spacing w:line="576" w:lineRule="exact"/>
        <w:ind w:firstLine="640" w:firstLineChars="200"/>
        <w:rPr>
          <w:rFonts w:hint="eastAsia" w:ascii="仿宋_GB2312" w:hAnsi="Calibri" w:eastAsia="仿宋_GB2312" w:cs="Times New Roman"/>
          <w:kern w:val="2"/>
          <w:sz w:val="32"/>
          <w:szCs w:val="32"/>
          <w:highlight w:val="none"/>
          <w:lang w:val="en-US" w:eastAsia="zh-CN" w:bidi="ar-SA"/>
        </w:rPr>
      </w:pPr>
      <w:r>
        <w:rPr>
          <w:rFonts w:hint="eastAsia" w:ascii="仿宋_GB2312" w:hAnsi="Calibri" w:eastAsia="仿宋_GB2312" w:cs="Times New Roman"/>
          <w:kern w:val="2"/>
          <w:sz w:val="32"/>
          <w:szCs w:val="32"/>
          <w:highlight w:val="none"/>
          <w:lang w:val="en-US" w:eastAsia="zh-CN" w:bidi="ar-SA"/>
        </w:rPr>
        <w:t>① 加强政治建设。坚持把政治建设摆在首位，深刻领会“两个确立”的决定性意义，切实提高政治判断力、政治领悟力、政治执行力，坚决做到“两个维护”，在思想上政治上行动上同以习近平同志为核心的党中央保持高度一致。认真贯彻落实习近平总书记发表的重要讲话、作出的重要指示批示，党中央、省委、市委重大决策部署以及市卫健委安排的工作任务，确保医院改革发展正确方向。全面贯彻执行党委领导下的院长负责制，高质量组织实施党委换届，充分发挥党委把方向、管大局、作决策、促改革、保落实的领导作用，健全完善议事决策机制、书记和院长定期沟通制度、院长负责制执行情况报告制度，构建党委统一领导、党政分工合作、协调运行的工作机制。贯彻落实医院章程，把党的领导融入医院治理的全过程各方面各环节，推动医院治理体系和治理能力现代化。</w:t>
      </w:r>
    </w:p>
    <w:p>
      <w:pPr>
        <w:shd w:val="clear"/>
        <w:spacing w:line="576" w:lineRule="exact"/>
        <w:ind w:firstLine="640" w:firstLineChars="200"/>
        <w:rPr>
          <w:rFonts w:hint="eastAsia" w:ascii="仿宋_GB2312" w:hAnsi="Calibri" w:eastAsia="仿宋_GB2312" w:cs="Times New Roman"/>
          <w:kern w:val="2"/>
          <w:sz w:val="32"/>
          <w:szCs w:val="32"/>
          <w:highlight w:val="none"/>
          <w:lang w:val="en-US" w:eastAsia="zh-CN" w:bidi="ar-SA"/>
        </w:rPr>
      </w:pPr>
      <w:r>
        <w:rPr>
          <w:rFonts w:hint="eastAsia" w:ascii="仿宋_GB2312" w:hAnsi="Calibri" w:eastAsia="仿宋_GB2312" w:cs="Times New Roman"/>
          <w:kern w:val="2"/>
          <w:sz w:val="32"/>
          <w:szCs w:val="32"/>
          <w:highlight w:val="none"/>
          <w:lang w:val="en-US" w:eastAsia="zh-CN" w:bidi="ar-SA"/>
        </w:rPr>
        <w:t>② 加强思想建设。坚持把学懂弄通做实习近平新时代中国特色社会主义思想作为首要政治任务，创新思想政治工作内容、方法和载体，推进党史学习教育常态化长效化，提升党委理论学习中心组学习、党支部集中学习、科室常态化学习效果，推动党的理论学习往深里走、往心里走、往实里走，引导全院干部职工自觉用党的创新理论武装头脑、指导实践、推动工作。严格落实意识形态工作责任制，牢牢把握意识形态工作的领导权、管理权、话语权，开展爱院爱岗主题教育，树立正确的舆论导向，大力塑造爱院、敬业、合作、创新、奉献的医院精神，凝聚医院高质量发展正能量。坚持党建带群建，健全工会、共青团等群团组织，完善工作机制，充分发挥群团组织作用。推进医院精神文明建设，开展文明医院、青年文明号创建和志愿服务活动。</w:t>
      </w:r>
    </w:p>
    <w:p>
      <w:pPr>
        <w:shd w:val="clear"/>
        <w:spacing w:line="576" w:lineRule="exact"/>
        <w:ind w:firstLine="640" w:firstLineChars="200"/>
        <w:rPr>
          <w:rFonts w:hint="eastAsia" w:ascii="仿宋_GB2312" w:hAnsi="Calibri" w:eastAsia="仿宋_GB2312" w:cs="Times New Roman"/>
          <w:kern w:val="2"/>
          <w:sz w:val="32"/>
          <w:szCs w:val="32"/>
          <w:highlight w:val="none"/>
          <w:lang w:val="en-US" w:eastAsia="zh-CN" w:bidi="ar-SA"/>
        </w:rPr>
      </w:pPr>
      <w:r>
        <w:rPr>
          <w:rFonts w:hint="eastAsia" w:ascii="仿宋_GB2312" w:hAnsi="Calibri" w:eastAsia="仿宋_GB2312" w:cs="Times New Roman"/>
          <w:kern w:val="2"/>
          <w:sz w:val="32"/>
          <w:szCs w:val="32"/>
          <w:highlight w:val="none"/>
          <w:lang w:val="en-US" w:eastAsia="zh-CN" w:bidi="ar-SA"/>
        </w:rPr>
        <w:t>③ 加强组织建设。坚持党管干部原则，按照政治强、促改革、懂业务、善管理、敢担当、作风正的标准，选优配强中层干部，激发干部队伍干事创业的热情。全覆盖开展干部培训，举办医疗管理培训班、青年政治辅导班、党务干部培训班，强化理论教育和党性锻炼，着力培养专业精神和专业能力。健全干部培养教育、交流锻炼和监督约束制度，完善考核评价体系，营造能者上、庸者下、平者让干事氛围。深化党支部标准化规范化建设，加强基础工作，完善基本制度，提升基本能力，提炼塑造宣传党建品牌，争创党建工作示范医院和标杆党支部。强化基层党组织政治功能，深入落实党支部参与科室业务发展、人才引进、薪酬分配、职称晋升、设备配置等重大问题决策制度，把好政治关、医德医风关。继续实施临床医技科室党支部书记“双带头人”培育工程和党员培养教育“三向培养模式”，加强对党员的直接教育、管理、监督，做好组织、宣传、凝聚、服务群众工作。通过设立党员示范团队和党员示范岗等，充分发挥基层党支部战斗堡垒作用和党员的先锋模范作用，推动高质量发展重点任务落地落实。</w:t>
      </w:r>
    </w:p>
    <w:p>
      <w:pPr>
        <w:shd w:val="clear"/>
        <w:spacing w:line="576" w:lineRule="exact"/>
        <w:ind w:firstLine="640" w:firstLineChars="200"/>
        <w:rPr>
          <w:rFonts w:hint="eastAsia" w:ascii="仿宋_GB2312" w:hAnsi="Calibri" w:eastAsia="仿宋_GB2312" w:cs="Times New Roman"/>
          <w:kern w:val="2"/>
          <w:sz w:val="32"/>
          <w:szCs w:val="32"/>
          <w:highlight w:val="none"/>
          <w:lang w:val="en-US" w:eastAsia="zh-CN" w:bidi="ar-SA"/>
        </w:rPr>
      </w:pPr>
      <w:r>
        <w:rPr>
          <w:rFonts w:hint="eastAsia" w:ascii="仿宋_GB2312" w:hAnsi="Calibri" w:eastAsia="仿宋_GB2312" w:cs="Times New Roman"/>
          <w:kern w:val="2"/>
          <w:sz w:val="32"/>
          <w:szCs w:val="32"/>
          <w:highlight w:val="none"/>
          <w:lang w:val="en-US" w:eastAsia="zh-CN" w:bidi="ar-SA"/>
        </w:rPr>
        <w:t>④ 加强作风纪律廉政建设。严格落实党风廉政建设责任制，深化“4321”精准监督模式，持续推进“三不一体”建设，完善落实“三张清单”，强化</w:t>
      </w:r>
      <w:r>
        <w:rPr>
          <w:rFonts w:hint="eastAsia" w:ascii="仿宋_GB2312" w:eastAsia="仿宋_GB2312" w:cs="Times New Roman"/>
          <w:kern w:val="2"/>
          <w:sz w:val="32"/>
          <w:szCs w:val="32"/>
          <w:highlight w:val="none"/>
          <w:lang w:val="en-US" w:eastAsia="zh-CN" w:bidi="ar-SA"/>
        </w:rPr>
        <w:t>法治</w:t>
      </w:r>
      <w:r>
        <w:rPr>
          <w:rFonts w:hint="eastAsia" w:ascii="仿宋_GB2312" w:hAnsi="Calibri" w:eastAsia="仿宋_GB2312" w:cs="Times New Roman"/>
          <w:kern w:val="2"/>
          <w:sz w:val="32"/>
          <w:szCs w:val="32"/>
          <w:highlight w:val="none"/>
          <w:lang w:val="en-US" w:eastAsia="zh-CN" w:bidi="ar-SA"/>
        </w:rPr>
        <w:t xml:space="preserve">纪律教育和警示教育，营造风清气正的政治生态。认真落实中央八项规定精神、省委省政府“十项规定”、市委“六个带头”及其实施细则要求，巩固作风纪律整顿成效，严厉整治形式主义、官僚主义，营造抓落实促发展的良好氛围。学习宣传贯彻医疗机构工作人员廉洁从业九项准则，开展专题学习教育，强化党员干部理想信念、宗旨意识，强化医护人员职业道德、医学人文素养。充分运用监督执纪“四种形态”，重点整治干部职工不讲政治、不抓落实、纪律不严等问题，深化行业突出问题系统治理，持续整治“大处方、泛耗材、滥检查”问题，塑造良好行业形象。 </w:t>
      </w:r>
    </w:p>
    <w:p>
      <w:pPr>
        <w:shd w:val="clear"/>
        <w:spacing w:line="576" w:lineRule="exact"/>
        <w:ind w:firstLine="640" w:firstLineChars="200"/>
        <w:outlineLvl w:val="1"/>
        <w:rPr>
          <w:rFonts w:hint="eastAsia" w:ascii="仿宋_GB2312" w:hAnsi="Calibri" w:eastAsia="仿宋_GB2312" w:cs="Times New Roman"/>
          <w:kern w:val="2"/>
          <w:sz w:val="32"/>
          <w:szCs w:val="32"/>
          <w:highlight w:val="none"/>
          <w:lang w:val="en-US" w:eastAsia="zh-CN" w:bidi="ar-SA"/>
        </w:rPr>
      </w:pPr>
      <w:bookmarkStart w:id="7" w:name="_Toc30956"/>
      <w:bookmarkStart w:id="8" w:name="_Toc29300"/>
      <w:r>
        <w:rPr>
          <w:rFonts w:hint="eastAsia" w:ascii="仿宋_GB2312" w:hAnsi="Calibri" w:eastAsia="仿宋_GB2312" w:cs="Times New Roman"/>
          <w:kern w:val="2"/>
          <w:sz w:val="32"/>
          <w:szCs w:val="32"/>
          <w:highlight w:val="none"/>
          <w:lang w:val="en-US" w:eastAsia="zh-CN" w:bidi="ar-SA"/>
        </w:rPr>
        <w:t>2.大力实施重点建设行动，激活医院高质量发展新动力</w:t>
      </w:r>
      <w:bookmarkEnd w:id="7"/>
      <w:bookmarkEnd w:id="8"/>
    </w:p>
    <w:p>
      <w:pPr>
        <w:shd w:val="clear"/>
        <w:spacing w:line="576" w:lineRule="exact"/>
        <w:ind w:firstLine="640" w:firstLineChars="200"/>
        <w:rPr>
          <w:rFonts w:hint="eastAsia" w:ascii="仿宋_GB2312" w:hAnsi="Calibri" w:eastAsia="仿宋_GB2312" w:cs="Times New Roman"/>
          <w:kern w:val="2"/>
          <w:sz w:val="32"/>
          <w:szCs w:val="32"/>
          <w:highlight w:val="none"/>
          <w:lang w:val="en-US" w:eastAsia="zh-CN" w:bidi="ar-SA"/>
        </w:rPr>
      </w:pPr>
      <w:r>
        <w:rPr>
          <w:rFonts w:hint="eastAsia" w:ascii="仿宋_GB2312" w:hAnsi="Calibri" w:eastAsia="仿宋_GB2312" w:cs="Times New Roman"/>
          <w:kern w:val="2"/>
          <w:sz w:val="32"/>
          <w:szCs w:val="32"/>
          <w:highlight w:val="none"/>
          <w:lang w:val="en-US" w:eastAsia="zh-CN" w:bidi="ar-SA"/>
        </w:rPr>
        <w:t>① 建设高质量发展新体系。按照网格化布局管理，建立完善以我院为主导，涵盖基层医疗卫生机构、公共卫生机构为成员的紧密型城市医疗集团，在疑难疾病、重大疾病、重大疫情的医疗救治等方面发挥协同作用，形成特色鲜明、专业互补、错位发展、有序竞争的发展格局。将对口支援下级医院和社区卫生服务工作纳入医疗联合体建设，精准选派业务骨干，通过人才、管理和技术“传帮带”，带动基层医疗卫生机构提升医疗服务能力和管理水平。深化联系医疗业务片区和联系社区制度，探索开展多层次医疗协作，开展远程诊疗服务，畅通双向转诊机制，构建责、权、利明晰的区域协同模式。</w:t>
      </w:r>
    </w:p>
    <w:p>
      <w:pPr>
        <w:shd w:val="clear"/>
        <w:spacing w:line="576" w:lineRule="exact"/>
        <w:ind w:firstLine="640" w:firstLineChars="200"/>
        <w:rPr>
          <w:rFonts w:hint="eastAsia" w:ascii="仿宋_GB2312" w:hAnsi="Calibri" w:eastAsia="仿宋_GB2312" w:cs="Times New Roman"/>
          <w:kern w:val="2"/>
          <w:sz w:val="32"/>
          <w:szCs w:val="32"/>
          <w:highlight w:val="none"/>
          <w:lang w:val="en-US" w:eastAsia="zh-CN" w:bidi="ar-SA"/>
        </w:rPr>
      </w:pPr>
      <w:r>
        <w:rPr>
          <w:rFonts w:hint="eastAsia" w:ascii="仿宋_GB2312" w:hAnsi="Calibri" w:eastAsia="仿宋_GB2312" w:cs="Times New Roman"/>
          <w:kern w:val="2"/>
          <w:sz w:val="32"/>
          <w:szCs w:val="32"/>
          <w:highlight w:val="none"/>
          <w:lang w:val="en-US" w:eastAsia="zh-CN" w:bidi="ar-SA"/>
        </w:rPr>
        <w:t>② 建设高质量重点专科群。建立健全学科建设管理体系，落实好院科两级管理责任，统筹考虑我院专科建设基础，以满足重大疾病临床诊疗需求为导向，以提高医疗技术服务能力为重点，加强核心专科、基础专科、特色专科建设，争创临床重点专科“百千万工程”，以专科发展带动诊疗能力和水平提升，为开展先进医疗技术、高难度手术和疑难复杂疾病诊疗提供支撑。持续深化与常春藤联盟、阜外医院、天坛医院合作项目，落实落细合作内容，全面提升心胸血管外科、心血管内科、神经内外科、麻醉科、重症医学科等核心专科能力，加强普外、消化、妇产、肿瘤等基础专科建设，发展病理、血透、皮肤美容、健康管理等特色专科。</w:t>
      </w:r>
    </w:p>
    <w:p>
      <w:pPr>
        <w:shd w:val="clear"/>
        <w:spacing w:line="576" w:lineRule="exact"/>
        <w:ind w:firstLine="640" w:firstLineChars="200"/>
        <w:rPr>
          <w:rFonts w:hint="eastAsia" w:ascii="仿宋_GB2312" w:hAnsi="Calibri" w:eastAsia="仿宋_GB2312" w:cs="Times New Roman"/>
          <w:kern w:val="2"/>
          <w:sz w:val="32"/>
          <w:szCs w:val="32"/>
          <w:highlight w:val="none"/>
          <w:lang w:val="en-US" w:eastAsia="zh-CN" w:bidi="ar-SA"/>
        </w:rPr>
      </w:pPr>
      <w:r>
        <w:rPr>
          <w:rFonts w:hint="eastAsia" w:ascii="仿宋_GB2312" w:hAnsi="Calibri" w:eastAsia="仿宋_GB2312" w:cs="Times New Roman"/>
          <w:kern w:val="2"/>
          <w:sz w:val="32"/>
          <w:szCs w:val="32"/>
          <w:highlight w:val="none"/>
          <w:lang w:val="en-US" w:eastAsia="zh-CN" w:bidi="ar-SA"/>
        </w:rPr>
        <w:t>③ 建设高质量人才队伍。坚持党管人才原则，用好用活市委市政府及医院人才政策，完善人才培养、使用和引进管理办法，完善以医德、能力、业绩为重点的人才评价体系，积极营造尊重知识、尊重人才的良好氛围，推动建成支持医院高质量发展的专业技术和医院管理人才队伍。大力实施人才强院战略，健全人才引进机制，多渠道、全方位刚性引进高端人才，支撑相应高水平临床专科能力建设。引进急需紧缺专业人才，优化专业技术人才队伍结构，形成专科发展互相支撑、专业结构配比合理的人才队伍。深化与北京常春藤医学高端人才联盟合作，抓住杭广合作等战略机遇，采用“请进来”与“送出去”相结合方式，加大中青年人才培养力度，</w:t>
      </w:r>
      <w:bookmarkStart w:id="9" w:name="_Hlk91601682"/>
      <w:r>
        <w:rPr>
          <w:rFonts w:hint="eastAsia" w:ascii="仿宋_GB2312" w:hAnsi="Calibri" w:eastAsia="仿宋_GB2312" w:cs="Times New Roman"/>
          <w:kern w:val="2"/>
          <w:sz w:val="32"/>
          <w:szCs w:val="32"/>
          <w:highlight w:val="none"/>
          <w:lang w:val="en-US" w:eastAsia="zh-CN" w:bidi="ar-SA"/>
        </w:rPr>
        <w:t>更新理念、提升技术、优化管理、提高效率。</w:t>
      </w:r>
      <w:bookmarkEnd w:id="9"/>
      <w:r>
        <w:rPr>
          <w:rFonts w:hint="eastAsia" w:ascii="仿宋_GB2312" w:hAnsi="Calibri" w:eastAsia="仿宋_GB2312" w:cs="Times New Roman"/>
          <w:kern w:val="2"/>
          <w:sz w:val="32"/>
          <w:szCs w:val="32"/>
          <w:highlight w:val="none"/>
          <w:lang w:val="en-US" w:eastAsia="zh-CN" w:bidi="ar-SA"/>
        </w:rPr>
        <w:t>加强精细化管理人才队伍建设，不断提高管理人员的政治素质、专业能力和管理水平，培养具有国际视野、全局意识和团队合作精神的复合型管理人才。</w:t>
      </w:r>
    </w:p>
    <w:p>
      <w:pPr>
        <w:shd w:val="clear"/>
        <w:spacing w:line="576" w:lineRule="exact"/>
        <w:ind w:firstLine="640" w:firstLineChars="200"/>
        <w:rPr>
          <w:rFonts w:hint="eastAsia" w:ascii="仿宋_GB2312" w:hAnsi="Calibri" w:eastAsia="仿宋_GB2312" w:cs="Times New Roman"/>
          <w:kern w:val="2"/>
          <w:sz w:val="32"/>
          <w:szCs w:val="32"/>
          <w:highlight w:val="none"/>
          <w:lang w:val="en-US" w:eastAsia="zh-CN" w:bidi="ar-SA"/>
        </w:rPr>
      </w:pPr>
      <w:r>
        <w:rPr>
          <w:rFonts w:hint="eastAsia" w:ascii="仿宋_GB2312" w:hAnsi="Calibri" w:eastAsia="仿宋_GB2312" w:cs="Times New Roman"/>
          <w:kern w:val="2"/>
          <w:sz w:val="32"/>
          <w:szCs w:val="32"/>
          <w:highlight w:val="none"/>
          <w:lang w:val="en-US" w:eastAsia="zh-CN" w:bidi="ar-SA"/>
        </w:rPr>
        <w:t>④ 建设高质量质控体系。坚持以问题为导向，聚焦三甲复评反馈问题，强化医疗质量管理与控制体系建设，全面落实十八项医疗质量安全核心制度，实施手术质量安全、病案内涵提升等专项行动，加快临床路径和单病种质量管理制度建设，扩大处方审核和点评范围，扩大通过临床实验室室间质评的项目数和通过率，加大18个重点病种、手术、患者安全、手术并发症等指标监测、评价和管控。推广多学科联合诊疗，实施医疗技术项目攻关，广泛开展内镜、腔镜、介入等微创手术，鼓励开展新技术、三四级手术及日间手术，开展不断优化危重患者占比、三四级手术占比等合理诊疗和合理用药指标，提升医院在全国、省内三级公立医院绩效考核名次。</w:t>
      </w:r>
    </w:p>
    <w:p>
      <w:pPr>
        <w:shd w:val="clear"/>
        <w:spacing w:line="576" w:lineRule="exact"/>
        <w:ind w:firstLine="640" w:firstLineChars="200"/>
        <w:rPr>
          <w:rFonts w:hint="eastAsia" w:ascii="仿宋_GB2312" w:hAnsi="Calibri" w:eastAsia="仿宋_GB2312" w:cs="Times New Roman"/>
          <w:kern w:val="2"/>
          <w:sz w:val="32"/>
          <w:szCs w:val="32"/>
          <w:highlight w:val="none"/>
          <w:lang w:val="en-US" w:eastAsia="zh-CN" w:bidi="ar-SA"/>
        </w:rPr>
      </w:pPr>
      <w:r>
        <w:rPr>
          <w:rFonts w:hint="eastAsia" w:ascii="仿宋_GB2312" w:hAnsi="Calibri" w:eastAsia="仿宋_GB2312" w:cs="Times New Roman"/>
          <w:kern w:val="2"/>
          <w:sz w:val="32"/>
          <w:szCs w:val="32"/>
          <w:highlight w:val="none"/>
          <w:lang w:val="en-US" w:eastAsia="zh-CN" w:bidi="ar-SA"/>
        </w:rPr>
        <w:t>⑤ 建设高质量科研教学医院。深化医教研协同，强化医院教学和人才培养职能，充分利用临床技能培训中心，加大医生护士培训力度，提高医护人员医学理论知识和医疗技术操作能力；加强住院医师规范化培训基地建设，提高住院医师规范化培训质量和首次参加医师资格考试通过率。努力争创医学院校非直管附属医院，提升教学水平。坚持临床和科研并举，建立健全科研工作机制，加大科研项目联合攻关，不断催生高层次人才和高水平成果，推动临床诊疗水平持续提高。加强科研创新平台建设，扩大药物临床试验范围，打造专科跨越发展重要增长点。</w:t>
      </w:r>
    </w:p>
    <w:p>
      <w:pPr>
        <w:shd w:val="clear"/>
        <w:spacing w:line="576" w:lineRule="exact"/>
        <w:ind w:firstLine="640" w:firstLineChars="200"/>
        <w:outlineLvl w:val="1"/>
        <w:rPr>
          <w:rFonts w:hint="eastAsia" w:ascii="仿宋_GB2312" w:hAnsi="Calibri" w:eastAsia="仿宋_GB2312" w:cs="Times New Roman"/>
          <w:kern w:val="2"/>
          <w:sz w:val="32"/>
          <w:szCs w:val="32"/>
          <w:highlight w:val="none"/>
          <w:lang w:val="en-US" w:eastAsia="zh-CN" w:bidi="ar-SA"/>
        </w:rPr>
      </w:pPr>
      <w:bookmarkStart w:id="10" w:name="_Toc8207"/>
      <w:bookmarkStart w:id="11" w:name="_Toc23432"/>
      <w:r>
        <w:rPr>
          <w:rFonts w:hint="eastAsia" w:ascii="仿宋_GB2312" w:hAnsi="Calibri" w:eastAsia="仿宋_GB2312" w:cs="Times New Roman"/>
          <w:kern w:val="2"/>
          <w:sz w:val="32"/>
          <w:szCs w:val="32"/>
          <w:highlight w:val="none"/>
          <w:lang w:val="en-US" w:eastAsia="zh-CN" w:bidi="ar-SA"/>
        </w:rPr>
        <w:t>3.大力实施能力提升行动，提升医院高质量发展新效能</w:t>
      </w:r>
      <w:bookmarkEnd w:id="10"/>
      <w:bookmarkEnd w:id="11"/>
    </w:p>
    <w:p>
      <w:pPr>
        <w:shd w:val="clear"/>
        <w:spacing w:line="576" w:lineRule="exact"/>
        <w:ind w:firstLine="640" w:firstLineChars="200"/>
        <w:rPr>
          <w:rFonts w:hint="eastAsia" w:ascii="仿宋_GB2312" w:hAnsi="Calibri" w:eastAsia="仿宋_GB2312" w:cs="Times New Roman"/>
          <w:kern w:val="2"/>
          <w:sz w:val="32"/>
          <w:szCs w:val="32"/>
          <w:highlight w:val="none"/>
          <w:lang w:val="en-US" w:eastAsia="zh-CN" w:bidi="ar-SA"/>
        </w:rPr>
      </w:pPr>
      <w:r>
        <w:rPr>
          <w:rFonts w:hint="eastAsia" w:ascii="仿宋_GB2312" w:hAnsi="Calibri" w:eastAsia="仿宋_GB2312" w:cs="Times New Roman"/>
          <w:kern w:val="2"/>
          <w:sz w:val="32"/>
          <w:szCs w:val="32"/>
          <w:highlight w:val="none"/>
          <w:lang w:val="en-US" w:eastAsia="zh-CN" w:bidi="ar-SA"/>
        </w:rPr>
        <w:t>① 着力改善患者就医体验。推进医疗服务模式创新，针对心脑血管疾病、肿瘤等重大疾病建立专病联合诊疗的有效模式，研究推广MDT、快速康复等新诊疗模式，加快无痛医院建设，逐步扩大日间手术病种范围，保障人民群众的健康权益。创新急诊救治服务模式，提升院前医疗急救服务能力，加强胸痛、卒中、创伤、危重孕产妇、危重儿童和新生儿等救治中心建设，构建快速、精准、高效的危重症医疗救治体系。积极打造患者综合服务中心，实施健康管理、健康教育、疾病预防、预约诊疗、门诊和住院“一体化”服务，推行分时段预约诊疗和检查检验集中预约服务。开设合理用药咨询和药物治疗管理门诊，加强临床药学服务和药品不良反应监测，开展精准用药服务。开展以“改善服务态度”为主要内容的服务提升专项行动，建立和谐医患护患关系。建立慢病管理团队，加大健康教育和宣传力度，提高城镇职工医保患者就诊比例。深化优质护理服务内涵，做实责任制整体护理，强化基础护理，开展延续护理服务，增进医患理解和信任。</w:t>
      </w:r>
    </w:p>
    <w:p>
      <w:pPr>
        <w:shd w:val="clear"/>
        <w:spacing w:line="576" w:lineRule="exact"/>
        <w:ind w:firstLine="640" w:firstLineChars="200"/>
        <w:rPr>
          <w:rFonts w:hint="eastAsia" w:ascii="仿宋_GB2312" w:hAnsi="Calibri" w:eastAsia="仿宋_GB2312" w:cs="Times New Roman"/>
          <w:kern w:val="2"/>
          <w:sz w:val="32"/>
          <w:szCs w:val="32"/>
          <w:highlight w:val="none"/>
          <w:lang w:val="en-US" w:eastAsia="zh-CN" w:bidi="ar-SA"/>
        </w:rPr>
      </w:pPr>
      <w:r>
        <w:rPr>
          <w:rFonts w:hint="eastAsia" w:ascii="仿宋_GB2312" w:hAnsi="Calibri" w:eastAsia="仿宋_GB2312" w:cs="Times New Roman"/>
          <w:kern w:val="2"/>
          <w:sz w:val="32"/>
          <w:szCs w:val="32"/>
          <w:highlight w:val="none"/>
          <w:lang w:val="en-US" w:eastAsia="zh-CN" w:bidi="ar-SA"/>
        </w:rPr>
        <w:t>② 推动构建精细化管理体系。以医院战略规划和年度目标任务为依据，实行全方位全过程预算管理，促进资源有效分配和使用。探索建立重点病种考核体系，对医院病例组合数、成本产出、医生绩效等进行监测评价，加强临床医技科室成本管理和大型高端医疗设备效益管理，提高效率、节约费用，减轻患者就医负担。充分运用内控体系建设成果，健全重点领域、重要事项、关键岗位的流程管控和制约机制，发挥好效能督查、纪检监察、审计联合监督作用，高质量推进审计全覆盖，健全发现问题整改和成果运用机制，有效确保各项活动合法合规，维护医院安全高效运行。落实岗位管理制度，坚持按需设岗、竞聘上岗、按岗聘用、合同管理，逐步实现由固定用人向合同用人、由身份管理向岗位管理的转变。以聘用合同为依据，以岗位职责完成情况为重点，优化完善绩效考核指标体系，建立主要体现岗位职责和知识价值的薪酬体系，实现以岗定责、以岗定薪、责薪相适、考核兑现。</w:t>
      </w:r>
    </w:p>
    <w:p>
      <w:pPr>
        <w:shd w:val="clear"/>
        <w:spacing w:line="576" w:lineRule="exact"/>
        <w:ind w:firstLine="640" w:firstLineChars="200"/>
        <w:rPr>
          <w:rFonts w:hint="eastAsia" w:ascii="仿宋_GB2312" w:hAnsi="Calibri" w:eastAsia="仿宋_GB2312" w:cs="Times New Roman"/>
          <w:kern w:val="2"/>
          <w:sz w:val="32"/>
          <w:szCs w:val="32"/>
          <w:highlight w:val="none"/>
          <w:lang w:val="en-US" w:eastAsia="zh-CN" w:bidi="ar-SA"/>
        </w:rPr>
      </w:pPr>
      <w:r>
        <w:rPr>
          <w:rFonts w:hint="eastAsia" w:ascii="仿宋_GB2312" w:hAnsi="Calibri" w:eastAsia="仿宋_GB2312" w:cs="Times New Roman"/>
          <w:kern w:val="2"/>
          <w:sz w:val="32"/>
          <w:szCs w:val="32"/>
          <w:highlight w:val="none"/>
          <w:lang w:val="en-US" w:eastAsia="zh-CN" w:bidi="ar-SA"/>
        </w:rPr>
        <w:t>③ 推进基础设施建设升级。将信息化作为医院基本建设的优先领域，逐步建设智慧医疗、智慧服务、智慧管理“三位一体”的智慧医院信息系统。加快建设医疗、护理质量管理与控制“信息化”平台，包括临床辅助决策系统、用药安全系统等，实现精准、实时管理与控制。建设互联网医院，推进“网上问诊、电子处方、在线结算、送药到家”闭环服务。按照重点专科优先发展原则，顺应精准医疗时代的趋势，引进配置高端医疗设备。加快完成院内道路改造，优化医疗资源布局，建立便捷高效系统的医疗服务流程。加快推进老院区综合利用项目，分期完成基础设施升级，扩大服务功能。认真贯彻落实市委市政府决策部署，加快推进三江新区分院建设，加快形成“一院多区”新发展格局。</w:t>
      </w:r>
    </w:p>
    <w:p>
      <w:pPr>
        <w:shd w:val="clear"/>
        <w:spacing w:line="576" w:lineRule="exact"/>
        <w:ind w:firstLine="640" w:firstLineChars="200"/>
        <w:rPr>
          <w:rFonts w:hint="eastAsia"/>
        </w:rPr>
      </w:pPr>
      <w:r>
        <w:rPr>
          <w:rFonts w:hint="eastAsia" w:ascii="仿宋_GB2312" w:hAnsi="Calibri" w:eastAsia="仿宋_GB2312" w:cs="Times New Roman"/>
          <w:b w:val="0"/>
          <w:bCs/>
          <w:kern w:val="2"/>
          <w:sz w:val="32"/>
          <w:szCs w:val="32"/>
          <w:highlight w:val="none"/>
          <w:lang w:val="en-US" w:eastAsia="zh-CN" w:bidi="ar-SA"/>
        </w:rPr>
        <w:t>④ 建设特色鲜明的医院文化。挖掘整理医院历史、文化特色，丰富院训、愿景、使命等精神内涵，凝聚支撑医院高质量发展的精神力量。建立医务人员职业荣誉制度，大力选树身边的先进典型，弘扬崇高职业精神，激发医务人员对工作极端负责、对人民极端热忱、对技术精益求精的不竭动力，唱响医者仁心主旋律。建立倡导学习文化，建设“学习型”医院，分类分层全覆盖开展培训，全面推进医院学术水平、科研实力、学科发展、人才培养等提档升级。大力弘扬伟大抗疫精神和崇高职业精神，重视培养医护人员医学人文素养，形成严谨求实的工作作风和“视患者如亲人”的医者担当。充分发挥群团组织桥梁纽带作用，开展丰富多彩文体活动，搭建沟通交流平台。健全职工关爱帮扶机制，切实解决医务人员实际困难，提升职工获得感幸福感安全感。</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2" w:name="_Toc28252"/>
      <w:r>
        <w:rPr>
          <w:rFonts w:hint="eastAsia" w:ascii="黑体" w:hAnsi="黑体" w:eastAsia="黑体" w:cs="黑体"/>
          <w:sz w:val="32"/>
          <w:szCs w:val="32"/>
          <w:lang w:val="en-US" w:eastAsia="zh-CN"/>
        </w:rPr>
        <w:t>二、部门预算单位构成</w:t>
      </w:r>
      <w:bookmarkEnd w:id="12"/>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广元市第一人民医院为广元市卫生健康委员会下属二级预算单位，本单位无下属机构，设有内设机构65个。</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23765"/>
      <w:r>
        <w:rPr>
          <w:rFonts w:hint="eastAsia" w:ascii="黑体" w:hAnsi="黑体" w:eastAsia="黑体" w:cs="黑体"/>
          <w:sz w:val="32"/>
          <w:szCs w:val="32"/>
          <w:lang w:val="en-US" w:eastAsia="zh-CN"/>
        </w:rPr>
        <w:t>三、收支预算情况说明</w:t>
      </w:r>
      <w:bookmarkEnd w:id="1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综合预算的原则，所有收入和支出均纳入部门预算管理。收入包括：一般公共预算拨款收入、事业收入；支出包括：卫生健康支出。2024年收支预算总数82828.7万元，比2023年收支预算总数增加11438.97万元，主要原因是2023年门诊人次、住院人次的增长及2024年万缘医院的开诊。</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4" w:name="_Toc22461"/>
      <w:r>
        <w:rPr>
          <w:rFonts w:hint="eastAsia" w:ascii="楷体_GB2312" w:hAnsi="楷体_GB2312" w:eastAsia="楷体_GB2312" w:cs="楷体_GB2312"/>
          <w:sz w:val="32"/>
          <w:szCs w:val="32"/>
          <w:lang w:val="en-US" w:eastAsia="zh-CN"/>
        </w:rPr>
        <w:t>（一）收入预算情况</w:t>
      </w:r>
      <w:bookmarkEnd w:id="1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广元市第一人民医院2024年收入预算82828.7万元，其中：一般公共预算拨款收入398.44万元，占0.48%；事业收入82430.26万元，占99.52%。</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8834"/>
      <w:r>
        <w:rPr>
          <w:rFonts w:hint="eastAsia" w:ascii="楷体_GB2312" w:hAnsi="楷体_GB2312" w:eastAsia="楷体_GB2312" w:cs="楷体_GB2312"/>
          <w:sz w:val="32"/>
          <w:szCs w:val="32"/>
          <w:lang w:val="en-US" w:eastAsia="zh-CN"/>
        </w:rPr>
        <w:t>（二）支出预算情况</w:t>
      </w:r>
      <w:bookmarkEnd w:id="1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广元市第一人民医院2024年支出预算82828.7万元，其中：基本支出35213.84万元，占42.51%；项目支出47614.86万元，占57.49%</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6" w:name="_Toc9322"/>
      <w:r>
        <w:rPr>
          <w:rFonts w:hint="eastAsia" w:ascii="黑体" w:hAnsi="黑体" w:eastAsia="黑体" w:cs="黑体"/>
          <w:sz w:val="32"/>
          <w:szCs w:val="32"/>
          <w:lang w:val="en-US" w:eastAsia="zh-CN"/>
        </w:rPr>
        <w:t>四、财政拨款收支预算情况说明</w:t>
      </w:r>
      <w:bookmarkEnd w:id="16"/>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广元市第一人民医院2024年财政拨款收支预算总数398.44万元，比2023年财政拨款收支预算总数减少1.82万元，主要原因是</w:t>
      </w:r>
      <w:r>
        <w:rPr>
          <w:rFonts w:hint="eastAsia" w:ascii="仿宋_GB2312" w:hAnsi="Calibri" w:eastAsia="仿宋_GB2312" w:cs="Times New Roman"/>
          <w:kern w:val="2"/>
          <w:sz w:val="32"/>
          <w:szCs w:val="32"/>
          <w:highlight w:val="none"/>
          <w:lang w:val="en-US" w:eastAsia="zh-CN" w:bidi="ar-SA"/>
        </w:rPr>
        <w:t>202</w:t>
      </w:r>
      <w:r>
        <w:rPr>
          <w:rFonts w:hint="eastAsia" w:ascii="仿宋_GB2312" w:eastAsia="仿宋_GB2312" w:cs="Times New Roman"/>
          <w:kern w:val="2"/>
          <w:sz w:val="32"/>
          <w:szCs w:val="32"/>
          <w:highlight w:val="none"/>
          <w:lang w:val="en-US" w:eastAsia="zh-CN" w:bidi="ar-SA"/>
        </w:rPr>
        <w:t>4</w:t>
      </w:r>
      <w:r>
        <w:rPr>
          <w:rFonts w:hint="eastAsia" w:ascii="仿宋_GB2312" w:hAnsi="Calibri" w:eastAsia="仿宋_GB2312" w:cs="Times New Roman"/>
          <w:kern w:val="2"/>
          <w:sz w:val="32"/>
          <w:szCs w:val="32"/>
          <w:highlight w:val="none"/>
          <w:lang w:val="en-US" w:eastAsia="zh-CN" w:bidi="ar-SA"/>
        </w:rPr>
        <w:t>年乡村振兴经费项目财政拨款预算</w:t>
      </w:r>
      <w:r>
        <w:rPr>
          <w:rFonts w:hint="eastAsia" w:ascii="仿宋_GB2312" w:eastAsia="仿宋_GB2312" w:cs="Times New Roman"/>
          <w:kern w:val="2"/>
          <w:sz w:val="32"/>
          <w:szCs w:val="32"/>
          <w:highlight w:val="none"/>
          <w:lang w:val="en-US" w:eastAsia="zh-CN" w:bidi="ar-SA"/>
        </w:rPr>
        <w:t>减少1.82万元。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收入包括：本年一般公共预算拨款收入398.44万元；支出包括：卫生健康支出398.44万元。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7" w:name="_Toc31227"/>
      <w:r>
        <w:rPr>
          <w:rFonts w:hint="eastAsia" w:ascii="黑体" w:hAnsi="黑体" w:eastAsia="黑体" w:cs="黑体"/>
          <w:sz w:val="32"/>
          <w:szCs w:val="32"/>
          <w:lang w:val="en-US" w:eastAsia="zh-CN"/>
        </w:rPr>
        <w:t>五、一般公共预算当年拨款情况说明</w:t>
      </w:r>
      <w:bookmarkEnd w:id="1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8" w:name="_Toc8604"/>
      <w:r>
        <w:rPr>
          <w:rFonts w:hint="eastAsia" w:ascii="楷体_GB2312" w:hAnsi="楷体_GB2312" w:eastAsia="楷体_GB2312" w:cs="楷体_GB2312"/>
          <w:sz w:val="32"/>
          <w:szCs w:val="32"/>
          <w:lang w:val="en-US" w:eastAsia="zh-CN"/>
        </w:rPr>
        <w:t>（一）一般公共预算当年拨款规模变化情况</w:t>
      </w:r>
      <w:bookmarkEnd w:id="18"/>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广元市第一人民医院2024年一般公共预算当年拨款398.44万元，比2023年预算数减少1.82万元，主要原因是</w:t>
      </w:r>
      <w:r>
        <w:rPr>
          <w:rFonts w:hint="eastAsia" w:ascii="仿宋_GB2312" w:hAnsi="Calibri" w:eastAsia="仿宋_GB2312" w:cs="Times New Roman"/>
          <w:kern w:val="2"/>
          <w:sz w:val="32"/>
          <w:szCs w:val="32"/>
          <w:highlight w:val="none"/>
          <w:lang w:val="en-US" w:eastAsia="zh-CN" w:bidi="ar-SA"/>
        </w:rPr>
        <w:t>202</w:t>
      </w:r>
      <w:r>
        <w:rPr>
          <w:rFonts w:hint="eastAsia" w:ascii="仿宋_GB2312" w:eastAsia="仿宋_GB2312" w:cs="Times New Roman"/>
          <w:kern w:val="2"/>
          <w:sz w:val="32"/>
          <w:szCs w:val="32"/>
          <w:highlight w:val="none"/>
          <w:lang w:val="en-US" w:eastAsia="zh-CN" w:bidi="ar-SA"/>
        </w:rPr>
        <w:t>4</w:t>
      </w:r>
      <w:r>
        <w:rPr>
          <w:rFonts w:hint="eastAsia" w:ascii="仿宋_GB2312" w:hAnsi="Calibri" w:eastAsia="仿宋_GB2312" w:cs="Times New Roman"/>
          <w:kern w:val="2"/>
          <w:sz w:val="32"/>
          <w:szCs w:val="32"/>
          <w:highlight w:val="none"/>
          <w:lang w:val="en-US" w:eastAsia="zh-CN" w:bidi="ar-SA"/>
        </w:rPr>
        <w:t>年乡村振兴经费项目财政拨款预算</w:t>
      </w:r>
      <w:r>
        <w:rPr>
          <w:rFonts w:hint="eastAsia" w:ascii="仿宋_GB2312" w:eastAsia="仿宋_GB2312" w:cs="Times New Roman"/>
          <w:kern w:val="2"/>
          <w:sz w:val="32"/>
          <w:szCs w:val="32"/>
          <w:highlight w:val="none"/>
          <w:lang w:val="en-US" w:eastAsia="zh-CN" w:bidi="ar-SA"/>
        </w:rPr>
        <w:t>减少1.82万元。</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left="0" w:leftChars="0" w:firstLine="640" w:firstLineChars="200"/>
        <w:textAlignment w:val="auto"/>
        <w:outlineLvl w:val="1"/>
        <w:rPr>
          <w:rFonts w:hint="eastAsia" w:ascii="楷体_GB2312" w:hAnsi="楷体_GB2312" w:eastAsia="楷体_GB2312" w:cs="楷体_GB2312"/>
          <w:sz w:val="32"/>
          <w:szCs w:val="32"/>
          <w:lang w:val="en-US" w:eastAsia="zh-CN"/>
        </w:rPr>
      </w:pPr>
      <w:bookmarkStart w:id="19" w:name="_Toc17192"/>
      <w:r>
        <w:rPr>
          <w:rFonts w:hint="eastAsia" w:ascii="楷体_GB2312" w:hAnsi="楷体_GB2312" w:eastAsia="楷体_GB2312" w:cs="楷体_GB2312"/>
          <w:sz w:val="32"/>
          <w:szCs w:val="32"/>
          <w:lang w:val="en-US" w:eastAsia="zh-CN"/>
        </w:rPr>
        <w:t>一般公共预算当年拨款结构情况</w:t>
      </w:r>
      <w:bookmarkEnd w:id="19"/>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广元市第一人民医院202</w:t>
      </w:r>
      <w:r>
        <w:rPr>
          <w:rFonts w:hint="eastAsia" w:ascii="仿宋_GB2312" w:eastAsia="仿宋_GB2312" w:cs="Times New Roman"/>
          <w:kern w:val="2"/>
          <w:sz w:val="32"/>
          <w:szCs w:val="32"/>
          <w:lang w:val="en-US" w:eastAsia="zh-CN" w:bidi="ar-SA"/>
        </w:rPr>
        <w:t>4</w:t>
      </w:r>
      <w:r>
        <w:rPr>
          <w:rFonts w:hint="eastAsia" w:ascii="仿宋_GB2312" w:hAnsi="Calibri" w:eastAsia="仿宋_GB2312" w:cs="Times New Roman"/>
          <w:kern w:val="2"/>
          <w:sz w:val="32"/>
          <w:szCs w:val="32"/>
          <w:lang w:val="en-US" w:eastAsia="zh-CN" w:bidi="ar-SA"/>
        </w:rPr>
        <w:t>年一般公共预算当年拨款</w:t>
      </w:r>
      <w:r>
        <w:rPr>
          <w:rFonts w:hint="eastAsia" w:ascii="仿宋_GB2312" w:eastAsia="仿宋_GB2312" w:cs="Times New Roman"/>
          <w:kern w:val="2"/>
          <w:sz w:val="32"/>
          <w:szCs w:val="32"/>
          <w:lang w:val="en-US" w:eastAsia="zh-CN" w:bidi="ar-SA"/>
        </w:rPr>
        <w:t>398.44</w:t>
      </w:r>
      <w:r>
        <w:rPr>
          <w:rFonts w:hint="eastAsia" w:ascii="仿宋_GB2312" w:hAnsi="Calibri" w:eastAsia="仿宋_GB2312" w:cs="Times New Roman"/>
          <w:kern w:val="2"/>
          <w:sz w:val="32"/>
          <w:szCs w:val="32"/>
          <w:lang w:val="en-US" w:eastAsia="zh-CN" w:bidi="ar-SA"/>
        </w:rPr>
        <w:t>万元，其中：卫生健康支出</w:t>
      </w:r>
      <w:r>
        <w:rPr>
          <w:rFonts w:hint="eastAsia" w:ascii="仿宋_GB2312" w:eastAsia="仿宋_GB2312" w:cs="Times New Roman"/>
          <w:kern w:val="2"/>
          <w:sz w:val="32"/>
          <w:szCs w:val="32"/>
          <w:lang w:val="en-US" w:eastAsia="zh-CN" w:bidi="ar-SA"/>
        </w:rPr>
        <w:t>398.44</w:t>
      </w:r>
      <w:r>
        <w:rPr>
          <w:rFonts w:hint="eastAsia" w:ascii="仿宋_GB2312" w:hAnsi="Calibri" w:eastAsia="仿宋_GB2312" w:cs="Times New Roman"/>
          <w:kern w:val="2"/>
          <w:sz w:val="32"/>
          <w:szCs w:val="32"/>
          <w:lang w:val="en-US" w:eastAsia="zh-CN" w:bidi="ar-SA"/>
        </w:rPr>
        <w:t>万元，占100%。</w:t>
      </w:r>
    </w:p>
    <w:p>
      <w:pPr>
        <w:keepNext w:val="0"/>
        <w:keepLines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left="0" w:leftChars="0" w:right="0" w:rightChars="0" w:firstLine="640" w:firstLineChars="200"/>
        <w:jc w:val="both"/>
        <w:outlineLvl w:val="1"/>
        <w:rPr>
          <w:rFonts w:hint="eastAsia" w:ascii="楷体_GB2312" w:hAnsi="楷体_GB2312" w:eastAsia="楷体_GB2312" w:cs="楷体_GB2312"/>
          <w:sz w:val="32"/>
          <w:szCs w:val="32"/>
          <w:lang w:val="en-US" w:eastAsia="zh-CN"/>
        </w:rPr>
      </w:pPr>
      <w:bookmarkStart w:id="20" w:name="_Toc8423"/>
      <w:r>
        <w:rPr>
          <w:rFonts w:hint="eastAsia" w:ascii="楷体_GB2312" w:hAnsi="楷体_GB2312" w:eastAsia="楷体_GB2312" w:cs="楷体_GB2312"/>
          <w:sz w:val="32"/>
          <w:szCs w:val="32"/>
          <w:lang w:val="en-US" w:eastAsia="zh-CN"/>
        </w:rPr>
        <w:t>一般公共预算当年拨款具体使用情况</w:t>
      </w:r>
      <w:bookmarkEnd w:id="20"/>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rPr>
          <w:rFonts w:hint="default" w:ascii="仿宋_GB2312" w:hAnsi="Calibri" w:eastAsia="仿宋_GB2312" w:cs="Times New Roman"/>
          <w:kern w:val="2"/>
          <w:sz w:val="32"/>
          <w:szCs w:val="32"/>
          <w:lang w:val="en-US" w:eastAsia="zh-CN" w:bidi="ar-SA"/>
        </w:rPr>
      </w:pPr>
      <w:r>
        <w:rPr>
          <w:rFonts w:hint="default" w:ascii="仿宋_GB2312" w:hAnsi="Calibri" w:eastAsia="仿宋_GB2312" w:cs="Times New Roman"/>
          <w:kern w:val="2"/>
          <w:sz w:val="32"/>
          <w:szCs w:val="32"/>
          <w:lang w:val="en-US" w:eastAsia="zh-CN" w:bidi="ar-SA"/>
        </w:rPr>
        <w:t>卫生健康支出（类）公立医院（款）综合医院（项）</w:t>
      </w:r>
      <w:r>
        <w:rPr>
          <w:rFonts w:hint="eastAsia" w:ascii="仿宋_GB2312" w:eastAsia="仿宋_GB2312" w:cs="Times New Roman"/>
          <w:kern w:val="2"/>
          <w:sz w:val="32"/>
          <w:szCs w:val="32"/>
          <w:lang w:val="en-US" w:eastAsia="zh-CN" w:bidi="ar-SA"/>
        </w:rPr>
        <w:t>2024年预算数为398.44万元，主要用于</w:t>
      </w:r>
      <w:r>
        <w:rPr>
          <w:rFonts w:hint="default" w:ascii="仿宋_GB2312" w:hAnsi="Calibri" w:eastAsia="仿宋_GB2312" w:cs="Times New Roman"/>
          <w:kern w:val="2"/>
          <w:sz w:val="32"/>
          <w:szCs w:val="32"/>
          <w:lang w:val="en-US" w:eastAsia="zh-CN" w:bidi="ar-SA"/>
        </w:rPr>
        <w:t>卫生健康、中医部门所属的城市综合性医院、独立门诊、教学医院、疗养院和县医院的支出。</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outlineLvl w:val="0"/>
        <w:rPr>
          <w:rFonts w:hint="eastAsia" w:ascii="黑体" w:hAnsi="黑体" w:eastAsia="黑体" w:cs="黑体"/>
          <w:sz w:val="32"/>
          <w:szCs w:val="32"/>
          <w:lang w:val="en-US" w:eastAsia="zh-CN"/>
        </w:rPr>
      </w:pPr>
      <w:bookmarkStart w:id="21" w:name="_Toc23923"/>
      <w:r>
        <w:rPr>
          <w:rFonts w:hint="eastAsia" w:ascii="黑体" w:hAnsi="黑体" w:eastAsia="黑体" w:cs="黑体"/>
          <w:sz w:val="32"/>
          <w:szCs w:val="32"/>
          <w:lang w:val="en-US" w:eastAsia="zh-CN"/>
        </w:rPr>
        <w:t>六、一般公共预算基本支出情况说明</w:t>
      </w:r>
      <w:bookmarkEnd w:id="21"/>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广元市第一人民医院2024年一般公共预算基本支出392.98万元，其中：人员经费392.98万元，主要包括：基本工资。</w:t>
      </w:r>
    </w:p>
    <w:p>
      <w:pPr>
        <w:keepNext w:val="0"/>
        <w:keepLines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outlineLvl w:val="0"/>
        <w:rPr>
          <w:rFonts w:hint="eastAsia" w:ascii="黑体" w:hAnsi="黑体" w:eastAsia="黑体" w:cs="黑体"/>
          <w:sz w:val="32"/>
          <w:szCs w:val="32"/>
          <w:lang w:val="en-US" w:eastAsia="zh-CN"/>
        </w:rPr>
      </w:pPr>
      <w:bookmarkStart w:id="22" w:name="_Toc4006"/>
      <w:r>
        <w:rPr>
          <w:rFonts w:hint="eastAsia" w:ascii="黑体" w:hAnsi="黑体" w:eastAsia="黑体" w:cs="黑体"/>
          <w:sz w:val="32"/>
          <w:szCs w:val="32"/>
          <w:lang w:val="en-US" w:eastAsia="zh-CN"/>
        </w:rPr>
        <w:t>“三公”经费财政拨款预算安排情况说明</w:t>
      </w:r>
      <w:bookmarkEnd w:id="22"/>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80" w:lineRule="atLeast"/>
        <w:ind w:right="0" w:rightChars="0" w:firstLine="640" w:firstLineChars="200"/>
        <w:jc w:val="both"/>
        <w:textAlignment w:val="auto"/>
        <w:rPr>
          <w:rFonts w:hint="default" w:eastAsia="仿宋_GB2312"/>
          <w:lang w:val="en-US" w:eastAsia="zh-CN"/>
        </w:rPr>
      </w:pPr>
      <w:r>
        <w:rPr>
          <w:rFonts w:hint="eastAsia" w:ascii="仿宋_GB2312" w:hAnsi="Calibri" w:eastAsia="仿宋_GB2312" w:cs="Times New Roman"/>
          <w:kern w:val="2"/>
          <w:sz w:val="32"/>
          <w:szCs w:val="32"/>
          <w:highlight w:val="none"/>
          <w:lang w:val="en-US" w:eastAsia="zh-CN" w:bidi="ar-SA"/>
        </w:rPr>
        <w:t>广元市第一人民医院202</w:t>
      </w:r>
      <w:r>
        <w:rPr>
          <w:rFonts w:hint="eastAsia" w:ascii="仿宋_GB2312" w:eastAsia="仿宋_GB2312" w:cs="Times New Roman"/>
          <w:kern w:val="2"/>
          <w:sz w:val="32"/>
          <w:szCs w:val="32"/>
          <w:highlight w:val="none"/>
          <w:lang w:val="en-US" w:eastAsia="zh-CN" w:bidi="ar-SA"/>
        </w:rPr>
        <w:t>4</w:t>
      </w:r>
      <w:r>
        <w:rPr>
          <w:rFonts w:hint="eastAsia" w:ascii="仿宋_GB2312" w:hAnsi="Calibri" w:eastAsia="仿宋_GB2312" w:cs="Times New Roman"/>
          <w:kern w:val="2"/>
          <w:sz w:val="32"/>
          <w:szCs w:val="32"/>
          <w:highlight w:val="none"/>
          <w:lang w:val="en-US" w:eastAsia="zh-CN" w:bidi="ar-SA"/>
        </w:rPr>
        <w:t>年“三公”经费财政拨款</w:t>
      </w:r>
      <w:r>
        <w:rPr>
          <w:rFonts w:hint="eastAsia" w:ascii="仿宋_GB2312" w:eastAsia="仿宋_GB2312" w:cs="Times New Roman"/>
          <w:kern w:val="2"/>
          <w:sz w:val="32"/>
          <w:szCs w:val="32"/>
          <w:highlight w:val="none"/>
          <w:lang w:val="en-US" w:eastAsia="zh-CN" w:bidi="ar-SA"/>
        </w:rPr>
        <w:t>预算数0万元，其中：公务接待费0万元，公务用车购置及运行维护费0万元，因公出国（境）经费0万元。</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80" w:lineRule="atLeast"/>
        <w:ind w:right="0" w:rightChars="0" w:firstLine="640" w:firstLineChars="200"/>
        <w:jc w:val="both"/>
        <w:textAlignment w:val="auto"/>
        <w:outlineLvl w:val="1"/>
        <w:rPr>
          <w:rFonts w:hint="eastAsia"/>
          <w:lang w:val="en-US" w:eastAsia="zh-CN"/>
        </w:rPr>
      </w:pPr>
      <w:bookmarkStart w:id="23" w:name="_Toc17915"/>
      <w:r>
        <w:rPr>
          <w:rFonts w:hint="eastAsia" w:ascii="楷体_GB2312" w:hAnsi="Times New Roman" w:eastAsia="楷体_GB2312" w:cs="Times New Roman"/>
          <w:bCs/>
          <w:color w:val="000000"/>
          <w:sz w:val="32"/>
          <w:szCs w:val="32"/>
          <w:lang w:val="en-US" w:eastAsia="zh-CN"/>
        </w:rPr>
        <w:t>（一）公务接待费</w:t>
      </w:r>
      <w:bookmarkEnd w:id="23"/>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rPr>
          <w:rFonts w:hint="default" w:ascii="仿宋_GB2312" w:hAnsi="Calibri" w:eastAsia="仿宋_GB2312" w:cs="Times New Roman"/>
          <w:kern w:val="2"/>
          <w:sz w:val="32"/>
          <w:szCs w:val="32"/>
          <w:highlight w:val="none"/>
          <w:lang w:val="en-US" w:eastAsia="zh-CN" w:bidi="ar-SA"/>
        </w:rPr>
      </w:pPr>
      <w:r>
        <w:rPr>
          <w:rFonts w:hint="eastAsia" w:ascii="仿宋_GB2312" w:eastAsia="仿宋_GB2312" w:cs="Times New Roman"/>
          <w:kern w:val="2"/>
          <w:sz w:val="32"/>
          <w:szCs w:val="32"/>
          <w:highlight w:val="none"/>
          <w:lang w:val="en-US" w:eastAsia="zh-CN" w:bidi="ar-SA"/>
        </w:rPr>
        <w:t>公务接待费与2023年预算相比持平，未安排预算资金。</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80" w:lineRule="atLeast"/>
        <w:ind w:right="0" w:rightChars="0" w:firstLine="640" w:firstLineChars="200"/>
        <w:jc w:val="both"/>
        <w:textAlignment w:val="auto"/>
        <w:outlineLvl w:val="1"/>
        <w:rPr>
          <w:rFonts w:hint="eastAsia" w:ascii="楷体_GB2312" w:hAnsi="Times New Roman" w:eastAsia="楷体_GB2312" w:cs="Times New Roman"/>
          <w:bCs/>
          <w:color w:val="000000"/>
          <w:sz w:val="32"/>
          <w:szCs w:val="32"/>
          <w:lang w:val="en-US" w:eastAsia="zh-CN"/>
        </w:rPr>
      </w:pPr>
      <w:bookmarkStart w:id="24" w:name="_Toc28389"/>
      <w:r>
        <w:rPr>
          <w:rFonts w:hint="eastAsia" w:ascii="楷体_GB2312" w:hAnsi="Times New Roman" w:eastAsia="楷体_GB2312" w:cs="Times New Roman"/>
          <w:bCs/>
          <w:color w:val="000000"/>
          <w:sz w:val="32"/>
          <w:szCs w:val="32"/>
          <w:lang w:val="en-US" w:eastAsia="zh-CN"/>
        </w:rPr>
        <w:t>（二）公务用车购置及运行维护费</w:t>
      </w:r>
      <w:bookmarkEnd w:id="24"/>
      <w:bookmarkStart w:id="25" w:name="_Toc20484"/>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80" w:lineRule="atLeast"/>
        <w:ind w:right="0" w:rightChars="0" w:firstLine="640" w:firstLineChars="200"/>
        <w:jc w:val="both"/>
        <w:textAlignment w:val="auto"/>
        <w:rPr>
          <w:rFonts w:hint="default"/>
          <w:lang w:val="en-US" w:eastAsia="zh-CN"/>
        </w:rPr>
      </w:pPr>
      <w:bookmarkStart w:id="26" w:name="_Toc2510"/>
      <w:r>
        <w:rPr>
          <w:rFonts w:hint="eastAsia" w:ascii="仿宋_GB2312" w:eastAsia="仿宋_GB2312" w:cs="Times New Roman"/>
          <w:kern w:val="2"/>
          <w:sz w:val="32"/>
          <w:szCs w:val="32"/>
          <w:highlight w:val="none"/>
          <w:lang w:val="en-US" w:eastAsia="zh-CN" w:bidi="ar-SA"/>
        </w:rPr>
        <w:t>公务用车购置及运行维护费与2023年预算相比持平，未安排预算资金。</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80" w:lineRule="atLeast"/>
        <w:ind w:right="0" w:rightChars="0" w:firstLine="640" w:firstLineChars="200"/>
        <w:jc w:val="both"/>
        <w:textAlignment w:val="auto"/>
        <w:rPr>
          <w:rFonts w:hint="default" w:ascii="仿宋_GB2312" w:eastAsia="仿宋_GB2312" w:cs="Times New Roman"/>
          <w:kern w:val="2"/>
          <w:sz w:val="32"/>
          <w:szCs w:val="32"/>
          <w:highlight w:val="none"/>
          <w:lang w:val="en-US" w:eastAsia="zh-CN" w:bidi="ar-SA"/>
        </w:rPr>
      </w:pPr>
      <w:r>
        <w:rPr>
          <w:rFonts w:hint="eastAsia" w:ascii="仿宋_GB2312" w:eastAsia="仿宋_GB2312" w:cs="Times New Roman"/>
          <w:kern w:val="2"/>
          <w:sz w:val="32"/>
          <w:szCs w:val="32"/>
          <w:highlight w:val="none"/>
          <w:lang w:val="en-US" w:eastAsia="zh-CN" w:bidi="ar-SA"/>
        </w:rPr>
        <w:t>单位现有公务用车3辆，其中：轿车1辆，旅行车（含商务车）2辆。业务用车11辆，其中救护车10辆、其他1辆。其经费来源为事业收入。</w:t>
      </w:r>
      <w:bookmarkStart w:id="37" w:name="_GoBack"/>
      <w:bookmarkEnd w:id="37"/>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80" w:lineRule="atLeast"/>
        <w:ind w:right="0" w:rightChars="0" w:firstLine="640" w:firstLineChars="200"/>
        <w:jc w:val="both"/>
        <w:textAlignment w:val="auto"/>
        <w:rPr>
          <w:rFonts w:hint="default" w:ascii="仿宋_GB2312" w:eastAsia="仿宋_GB2312" w:cs="Times New Roman"/>
          <w:kern w:val="2"/>
          <w:sz w:val="32"/>
          <w:szCs w:val="32"/>
          <w:highlight w:val="none"/>
          <w:lang w:val="en-US" w:eastAsia="zh-CN" w:bidi="ar-SA"/>
        </w:rPr>
      </w:pPr>
      <w:r>
        <w:rPr>
          <w:rFonts w:hint="eastAsia" w:ascii="仿宋_GB2312" w:eastAsia="仿宋_GB2312" w:cs="Times New Roman"/>
          <w:kern w:val="2"/>
          <w:sz w:val="32"/>
          <w:szCs w:val="32"/>
          <w:highlight w:val="none"/>
          <w:lang w:val="en-US" w:eastAsia="zh-CN" w:bidi="ar-SA"/>
        </w:rPr>
        <w:t>2024年未安排公务用车购置费和公务用车运行维护费。</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kinsoku/>
        <w:wordWrap/>
        <w:overflowPunct/>
        <w:topLinePunct w:val="0"/>
        <w:autoSpaceDE/>
        <w:autoSpaceDN/>
        <w:bidi w:val="0"/>
        <w:adjustRightInd/>
        <w:snapToGrid/>
        <w:spacing w:before="0" w:beforeAutospacing="0" w:after="0" w:afterAutospacing="0" w:line="580" w:lineRule="atLeast"/>
        <w:ind w:right="0" w:rightChars="0" w:firstLine="640" w:firstLineChars="200"/>
        <w:jc w:val="both"/>
        <w:textAlignment w:val="auto"/>
        <w:outlineLvl w:val="1"/>
        <w:rPr>
          <w:rFonts w:hint="eastAsia"/>
          <w:lang w:val="en-US" w:eastAsia="zh-CN"/>
        </w:rPr>
      </w:pPr>
      <w:bookmarkStart w:id="27" w:name="_Toc14427"/>
      <w:r>
        <w:rPr>
          <w:rFonts w:hint="eastAsia" w:ascii="楷体_GB2312" w:hAnsi="Times New Roman" w:eastAsia="楷体_GB2312" w:cs="Times New Roman"/>
          <w:bCs/>
          <w:color w:val="000000"/>
          <w:sz w:val="32"/>
          <w:szCs w:val="32"/>
          <w:lang w:val="en-US" w:eastAsia="zh-CN"/>
        </w:rPr>
        <w:t>（三）因公出国（境）经费</w:t>
      </w:r>
      <w:bookmarkEnd w:id="25"/>
      <w:bookmarkEnd w:id="26"/>
      <w:bookmarkEnd w:id="27"/>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rPr>
          <w:rFonts w:hint="default" w:ascii="仿宋_GB2312" w:eastAsia="仿宋_GB2312" w:cs="Times New Roman"/>
          <w:kern w:val="2"/>
          <w:sz w:val="32"/>
          <w:szCs w:val="32"/>
          <w:highlight w:val="none"/>
          <w:lang w:val="en-US" w:eastAsia="zh-CN" w:bidi="ar-SA"/>
        </w:rPr>
      </w:pPr>
      <w:r>
        <w:rPr>
          <w:rFonts w:hint="eastAsia" w:ascii="仿宋_GB2312" w:eastAsia="仿宋_GB2312" w:cs="Times New Roman"/>
          <w:kern w:val="2"/>
          <w:sz w:val="32"/>
          <w:szCs w:val="32"/>
          <w:highlight w:val="none"/>
          <w:lang w:val="en-US" w:eastAsia="zh-CN" w:bidi="ar-SA"/>
        </w:rPr>
        <w:t>因公出国（境）经费与2023年预算相比持平，未安排预算资金。</w:t>
      </w:r>
    </w:p>
    <w:p>
      <w:pPr>
        <w:keepNext w:val="0"/>
        <w:keepLines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left="0" w:leftChars="0" w:right="0" w:rightChars="0" w:firstLine="640" w:firstLineChars="200"/>
        <w:jc w:val="both"/>
        <w:outlineLvl w:val="0"/>
        <w:rPr>
          <w:rFonts w:hint="eastAsia" w:ascii="黑体" w:hAnsi="黑体" w:eastAsia="黑体" w:cs="黑体"/>
          <w:sz w:val="32"/>
          <w:szCs w:val="32"/>
          <w:lang w:val="en-US" w:eastAsia="zh-CN"/>
        </w:rPr>
      </w:pPr>
      <w:bookmarkStart w:id="28" w:name="_Toc22411"/>
      <w:r>
        <w:rPr>
          <w:rFonts w:hint="eastAsia" w:ascii="黑体" w:hAnsi="黑体" w:eastAsia="黑体" w:cs="黑体"/>
          <w:sz w:val="32"/>
          <w:szCs w:val="32"/>
          <w:lang w:val="en-US" w:eastAsia="zh-CN"/>
        </w:rPr>
        <w:t>政府性基金预算支出情况说明</w:t>
      </w:r>
      <w:bookmarkEnd w:id="28"/>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广元市第一人民医院2024年无政府性基金预算拨款安排的支出。</w:t>
      </w:r>
    </w:p>
    <w:p>
      <w:pPr>
        <w:keepNext w:val="0"/>
        <w:keepLines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left="0" w:leftChars="0" w:right="0" w:rightChars="0" w:firstLine="640" w:firstLineChars="200"/>
        <w:jc w:val="both"/>
        <w:outlineLvl w:val="0"/>
        <w:rPr>
          <w:rFonts w:hint="eastAsia" w:ascii="黑体" w:hAnsi="黑体" w:eastAsia="黑体" w:cs="黑体"/>
          <w:sz w:val="32"/>
          <w:szCs w:val="32"/>
          <w:lang w:val="en-US" w:eastAsia="zh-CN"/>
        </w:rPr>
      </w:pPr>
      <w:bookmarkStart w:id="29" w:name="_Toc28337"/>
      <w:r>
        <w:rPr>
          <w:rFonts w:hint="eastAsia" w:ascii="黑体" w:hAnsi="黑体" w:eastAsia="黑体" w:cs="黑体"/>
          <w:sz w:val="32"/>
          <w:szCs w:val="32"/>
          <w:lang w:val="en-US" w:eastAsia="zh-CN"/>
        </w:rPr>
        <w:t>国有资本经营预算支出情况说明</w:t>
      </w:r>
      <w:bookmarkEnd w:id="29"/>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广元市第一人民医院2024年无国有资本经营预算拨款安排的支出。</w:t>
      </w:r>
    </w:p>
    <w:p>
      <w:pPr>
        <w:keepNext w:val="0"/>
        <w:keepLines w:val="0"/>
        <w:widowControl/>
        <w:numPr>
          <w:ilvl w:val="0"/>
          <w:numId w:val="3"/>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left="0" w:leftChars="0" w:right="0" w:rightChars="0" w:firstLine="640" w:firstLineChars="200"/>
        <w:jc w:val="both"/>
        <w:outlineLvl w:val="0"/>
        <w:rPr>
          <w:rFonts w:hint="eastAsia" w:ascii="黑体" w:hAnsi="黑体" w:eastAsia="黑体" w:cs="黑体"/>
          <w:sz w:val="32"/>
          <w:szCs w:val="32"/>
          <w:lang w:val="en-US" w:eastAsia="zh-CN"/>
        </w:rPr>
      </w:pPr>
      <w:bookmarkStart w:id="30" w:name="_Toc21709"/>
      <w:r>
        <w:rPr>
          <w:rFonts w:hint="eastAsia" w:ascii="黑体" w:hAnsi="黑体" w:eastAsia="黑体" w:cs="黑体"/>
          <w:sz w:val="32"/>
          <w:szCs w:val="32"/>
          <w:lang w:val="en-US" w:eastAsia="zh-CN"/>
        </w:rPr>
        <w:t>其他重要事项的情况说明</w:t>
      </w:r>
      <w:bookmarkEnd w:id="30"/>
    </w:p>
    <w:p>
      <w:pPr>
        <w:keepNext w:val="0"/>
        <w:keepLines w:val="0"/>
        <w:widowControl/>
        <w:numPr>
          <w:ilvl w:val="0"/>
          <w:numId w:val="4"/>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outlineLvl w:val="1"/>
        <w:rPr>
          <w:rFonts w:hint="eastAsia" w:ascii="仿宋_GB2312" w:hAnsi="仿宋_GB2312" w:eastAsia="仿宋_GB2312" w:cs="仿宋_GB2312"/>
          <w:sz w:val="32"/>
          <w:szCs w:val="32"/>
          <w:lang w:val="en-US" w:eastAsia="zh-CN"/>
        </w:rPr>
      </w:pPr>
      <w:bookmarkStart w:id="31" w:name="_Toc17091"/>
      <w:r>
        <w:rPr>
          <w:rFonts w:hint="eastAsia" w:ascii="楷体_GB2312" w:hAnsi="楷体_GB2312" w:eastAsia="楷体_GB2312" w:cs="楷体_GB2312"/>
          <w:sz w:val="32"/>
          <w:szCs w:val="32"/>
          <w:lang w:val="en-US" w:eastAsia="zh-CN"/>
        </w:rPr>
        <w:t>机关运行经费</w:t>
      </w:r>
      <w:bookmarkEnd w:id="31"/>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rPr>
          <w:rFonts w:hint="eastAsia" w:ascii="仿宋_GB2312" w:eastAsia="仿宋_GB2312" w:cs="Times New Roman"/>
          <w:sz w:val="32"/>
          <w:szCs w:val="32"/>
          <w:highlight w:val="none"/>
          <w:lang w:val="en-US" w:eastAsia="zh-CN"/>
        </w:rPr>
      </w:pPr>
      <w:r>
        <w:rPr>
          <w:rFonts w:hint="eastAsia" w:ascii="仿宋_GB2312" w:eastAsia="仿宋_GB2312" w:cs="Times New Roman"/>
          <w:sz w:val="32"/>
          <w:szCs w:val="32"/>
          <w:highlight w:val="none"/>
          <w:lang w:val="en-US" w:eastAsia="zh-CN"/>
        </w:rPr>
        <w:t>广元市第一人民医院为事业单位，按规定未使用机关运行的相关科目。</w:t>
      </w:r>
    </w:p>
    <w:p>
      <w:pPr>
        <w:keepNext w:val="0"/>
        <w:keepLines w:val="0"/>
        <w:widowControl/>
        <w:numPr>
          <w:ilvl w:val="0"/>
          <w:numId w:val="4"/>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left="0" w:leftChars="0" w:right="0" w:rightChars="0" w:firstLine="640" w:firstLineChars="200"/>
        <w:jc w:val="both"/>
        <w:outlineLvl w:val="1"/>
        <w:rPr>
          <w:rFonts w:hint="eastAsia" w:ascii="楷体_GB2312" w:hAnsi="楷体_GB2312" w:eastAsia="楷体_GB2312" w:cs="楷体_GB2312"/>
          <w:sz w:val="32"/>
          <w:szCs w:val="32"/>
          <w:lang w:val="en-US" w:eastAsia="zh-CN"/>
        </w:rPr>
      </w:pPr>
      <w:bookmarkStart w:id="32" w:name="_Toc28461"/>
      <w:r>
        <w:rPr>
          <w:rFonts w:hint="eastAsia" w:ascii="楷体_GB2312" w:hAnsi="楷体_GB2312" w:eastAsia="楷体_GB2312" w:cs="楷体_GB2312"/>
          <w:sz w:val="32"/>
          <w:szCs w:val="32"/>
          <w:lang w:val="en-US" w:eastAsia="zh-CN"/>
        </w:rPr>
        <w:t>政府采购情况</w:t>
      </w:r>
      <w:bookmarkEnd w:id="32"/>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spacing w:before="0" w:beforeAutospacing="0" w:after="0" w:afterAutospacing="0" w:line="580" w:lineRule="atLeast"/>
        <w:ind w:right="0" w:rightChars="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2024年，广元市第一人民医院安排政府采购预算8770.2428万元，其中：政府采购货物预算5302.2428万元、政府采购工程预算187.6万元、政府采购服务预算3280.4万元。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3" w:name="_Toc16764"/>
      <w:r>
        <w:rPr>
          <w:rFonts w:hint="eastAsia" w:ascii="楷体_GB2312" w:hAnsi="楷体_GB2312" w:eastAsia="楷体_GB2312" w:cs="楷体_GB2312"/>
          <w:sz w:val="32"/>
          <w:szCs w:val="32"/>
          <w:lang w:val="en-US" w:eastAsia="zh-CN"/>
        </w:rPr>
        <w:t>（三）国有资产占有使用情况</w:t>
      </w:r>
      <w:bookmarkEnd w:id="3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截至2023年底，广元市第一人民医院共有车辆14辆，其中，救护车10辆、其他用车4辆。单位价值200万元以上大型设备45台。</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2024年部门预算安排车辆购置经费300万元。其中，非财政拨款安排300万元。拟购置救护车6辆。安排大型设备购置经费790万元。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4" w:name="_Toc21657"/>
      <w:r>
        <w:rPr>
          <w:rFonts w:hint="eastAsia" w:ascii="楷体_GB2312" w:hAnsi="楷体_GB2312" w:eastAsia="楷体_GB2312" w:cs="楷体_GB2312"/>
          <w:sz w:val="32"/>
          <w:szCs w:val="32"/>
          <w:lang w:val="en-US" w:eastAsia="zh-CN"/>
        </w:rPr>
        <w:t>（四）绩效目标设置情况</w:t>
      </w:r>
      <w:bookmarkEnd w:id="34"/>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2024年广元市第一人民医院开展绩效目标管理的项目10个，涉及预算82828.7万元。其中：人员类项目1个，涉及预算 35213.84万元；运转类项目1个，涉及预算38839.16万元；特定目标类项目8个，涉及预算8775.7万元。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35" w:name="_Toc2834"/>
      <w:r>
        <w:rPr>
          <w:rFonts w:hint="eastAsia" w:ascii="黑体" w:hAnsi="黑体" w:eastAsia="黑体" w:cs="黑体"/>
          <w:sz w:val="32"/>
          <w:szCs w:val="32"/>
          <w:lang w:val="en-US" w:eastAsia="zh-CN"/>
        </w:rPr>
        <w:t>十一、名词解释</w:t>
      </w:r>
      <w:bookmarkEnd w:id="35"/>
    </w:p>
    <w:p>
      <w:pPr>
        <w:keepNext w:val="0"/>
        <w:keepLines w:val="0"/>
        <w:pageBreakBefore w:val="0"/>
        <w:widowControl w:val="0"/>
        <w:shd w:val="clear"/>
        <w:kinsoku/>
        <w:wordWrap/>
        <w:overflowPunct/>
        <w:topLinePunct w:val="0"/>
        <w:autoSpaceDE/>
        <w:autoSpaceDN/>
        <w:bidi w:val="0"/>
        <w:adjustRightInd/>
        <w:snapToGrid/>
        <w:spacing w:line="576" w:lineRule="exact"/>
        <w:ind w:left="638" w:leftChars="304" w:firstLine="0" w:firstLineChars="0"/>
        <w:textAlignment w:val="auto"/>
        <w:outlineLvl w:val="1"/>
        <w:rPr>
          <w:rFonts w:hint="eastAsia" w:ascii="仿宋_GB2312" w:hAnsi="仿宋_GB2312" w:eastAsia="仿宋_GB2312" w:cs="仿宋_GB2312"/>
          <w:sz w:val="32"/>
          <w:szCs w:val="32"/>
          <w:lang w:val="en-US" w:eastAsia="zh-CN"/>
        </w:rPr>
      </w:pPr>
      <w:bookmarkStart w:id="36" w:name="_Toc11882"/>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指市财政当年安排的财政预算收入。</w:t>
      </w:r>
      <w:bookmarkEnd w:id="36"/>
    </w:p>
    <w:p>
      <w:pPr>
        <w:keepNext w:val="0"/>
        <w:keepLines w:val="0"/>
        <w:pageBreakBefore w:val="0"/>
        <w:widowControl w:val="0"/>
        <w:shd w:val="clear"/>
        <w:kinsoku/>
        <w:wordWrap/>
        <w:overflowPunct/>
        <w:topLinePunct w:val="0"/>
        <w:autoSpaceDE/>
        <w:autoSpaceDN/>
        <w:bidi w:val="0"/>
        <w:adjustRightInd/>
        <w:snapToGrid/>
        <w:spacing w:line="576" w:lineRule="exact"/>
        <w:ind w:left="638" w:leftChars="304" w:firstLine="0" w:firstLineChars="0"/>
        <w:textAlignment w:val="auto"/>
        <w:rPr>
          <w:rFonts w:hint="default" w:ascii="仿宋_GB2312" w:hAnsi="Calibri" w:eastAsia="仿宋_GB2312" w:cs="Times New Roman"/>
          <w:kern w:val="2"/>
          <w:sz w:val="32"/>
          <w:szCs w:val="32"/>
          <w:lang w:val="en-US" w:eastAsia="zh-CN" w:bidi="ar-SA"/>
        </w:rPr>
      </w:pPr>
      <w:r>
        <w:rPr>
          <w:rFonts w:hint="eastAsia" w:ascii="楷体_GB2312" w:hAnsi="楷体_GB2312" w:eastAsia="楷体_GB2312" w:cs="楷体_GB2312"/>
          <w:sz w:val="32"/>
          <w:szCs w:val="32"/>
          <w:lang w:val="en-US" w:eastAsia="zh-CN"/>
        </w:rPr>
        <w:t>（二）事业收入：</w:t>
      </w:r>
      <w:r>
        <w:rPr>
          <w:rFonts w:hint="eastAsia" w:ascii="仿宋_GB2312" w:hAnsi="仿宋_GB2312" w:eastAsia="仿宋_GB2312" w:cs="仿宋_GB2312"/>
          <w:sz w:val="32"/>
          <w:szCs w:val="32"/>
          <w:lang w:val="en-US" w:eastAsia="zh-CN"/>
        </w:rPr>
        <w:t>指事业单位开展专业业务活动及辅助活动所取得的收入。</w:t>
      </w:r>
      <w:r>
        <w:rPr>
          <w:rFonts w:hint="default" w:ascii="仿宋_GB2312" w:hAnsi="Calibri" w:eastAsia="仿宋_GB2312" w:cs="Times New Roman"/>
          <w:kern w:val="2"/>
          <w:sz w:val="32"/>
          <w:szCs w:val="32"/>
          <w:lang w:val="en-US" w:eastAsia="zh-CN" w:bidi="ar-SA"/>
        </w:rPr>
        <w:t>如医疗机构医疗收入等。</w:t>
      </w:r>
    </w:p>
    <w:p>
      <w:pPr>
        <w:keepNext w:val="0"/>
        <w:keepLines w:val="0"/>
        <w:widowControl/>
        <w:suppressLineNumbers w:val="0"/>
        <w:shd w:val="clear"/>
        <w:spacing w:before="75" w:beforeAutospacing="0" w:after="75" w:afterAutospacing="0"/>
        <w:ind w:left="0" w:right="0" w:firstLine="640"/>
        <w:jc w:val="left"/>
        <w:rPr>
          <w:rFonts w:hint="default" w:ascii="仿宋_GB2312" w:eastAsia="仿宋_GB2312" w:hAnsiTheme="minorHAnsi" w:cstheme="minorBidi"/>
          <w:kern w:val="2"/>
          <w:sz w:val="32"/>
          <w:szCs w:val="32"/>
          <w:highlight w:val="none"/>
          <w:lang w:val="en-US" w:eastAsia="zh-CN" w:bidi="ar-SA"/>
        </w:rPr>
      </w:pPr>
      <w:r>
        <w:rPr>
          <w:rFonts w:hint="eastAsia" w:ascii="楷体_GB2312" w:hAnsi="楷体_GB2312" w:eastAsia="楷体_GB2312" w:cs="楷体_GB2312"/>
          <w:sz w:val="32"/>
          <w:szCs w:val="32"/>
          <w:lang w:val="en-US" w:eastAsia="zh-CN"/>
        </w:rPr>
        <w:t>（三）</w:t>
      </w:r>
      <w:r>
        <w:rPr>
          <w:rFonts w:hint="default" w:ascii="楷体_GB2312" w:hAnsi="楷体_GB2312" w:eastAsia="楷体_GB2312" w:cs="楷体_GB2312"/>
          <w:sz w:val="32"/>
          <w:szCs w:val="32"/>
          <w:lang w:val="en-US" w:eastAsia="zh-CN"/>
        </w:rPr>
        <w:t>卫生健康支出（类）公立医院（款）综合医院（项）2100201：</w:t>
      </w:r>
      <w:r>
        <w:rPr>
          <w:rFonts w:hint="default" w:ascii="仿宋_GB2312" w:eastAsia="仿宋_GB2312" w:hAnsiTheme="minorHAnsi" w:cstheme="minorBidi"/>
          <w:kern w:val="2"/>
          <w:sz w:val="32"/>
          <w:szCs w:val="32"/>
          <w:highlight w:val="none"/>
          <w:lang w:val="en-US" w:eastAsia="zh-CN" w:bidi="ar-SA"/>
        </w:rPr>
        <w:t>指反映卫生健康、中医部门所属的城市综合性医院、独立门诊、教学医院、疗养院和县医院的支出。</w:t>
      </w:r>
    </w:p>
    <w:p>
      <w:pPr>
        <w:keepNext w:val="0"/>
        <w:keepLines w:val="0"/>
        <w:widowControl/>
        <w:suppressLineNumbers w:val="0"/>
        <w:shd w:val="clear"/>
        <w:spacing w:before="75" w:beforeAutospacing="0" w:after="75" w:afterAutospacing="0"/>
        <w:ind w:left="0" w:right="0" w:firstLine="640"/>
        <w:jc w:val="left"/>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（五）项目支出：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widowControl/>
        <w:suppressLineNumbers w:val="0"/>
        <w:shd w:val="clear"/>
        <w:spacing w:before="75" w:beforeAutospacing="0" w:after="75" w:afterAutospacing="0"/>
        <w:ind w:left="0" w:right="0" w:firstLine="640"/>
        <w:jc w:val="left"/>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（六）“三公”经费：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960" w:firstLineChars="3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960" w:firstLineChars="3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pStyle w:val="2"/>
        <w:shd w:val="clear"/>
        <w:spacing w:before="0" w:after="0" w:line="240" w:lineRule="auto"/>
        <w:outlineLvl w:val="9"/>
        <w:rPr>
          <w:rFonts w:hint="eastAsia"/>
          <w:b w:val="0"/>
          <w:bCs/>
          <w:sz w:val="22"/>
          <w:szCs w:val="22"/>
          <w:lang w:eastAsia="zh-CN"/>
        </w:rPr>
      </w:pPr>
    </w:p>
    <w:sectPr>
      <w:pgSz w:w="11906" w:h="16838"/>
      <w:pgMar w:top="2098" w:right="1474" w:bottom="1984" w:left="1474"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F80C48D-2365-4200-BEB0-65DFE76F954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0013F3BA-5800-4F34-B95F-6C03FBDB87FC}"/>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Dialog . plain">
    <w:altName w:val="Segoe Print"/>
    <w:panose1 w:val="00000000000000000000"/>
    <w:charset w:val="00"/>
    <w:family w:val="auto"/>
    <w:pitch w:val="default"/>
    <w:sig w:usb0="00000000" w:usb1="00000000" w:usb2="00000000" w:usb3="00000000" w:csb0="00000000" w:csb1="00000000"/>
  </w:font>
  <w:font w:name="Dialog . bold">
    <w:altName w:val="Segoe Print"/>
    <w:panose1 w:val="00000000000000000000"/>
    <w:charset w:val="00"/>
    <w:family w:val="auto"/>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embedRegular r:id="rId3" w:fontKey="{C20E917D-9151-4CB8-8B44-5CAD55CC3CAB}"/>
  </w:font>
  <w:font w:name="楷体_GB2312">
    <w:panose1 w:val="02010609030101010101"/>
    <w:charset w:val="86"/>
    <w:family w:val="auto"/>
    <w:pitch w:val="default"/>
    <w:sig w:usb0="00000001" w:usb1="080E0000" w:usb2="00000000" w:usb3="00000000" w:csb0="00040000" w:csb1="00000000"/>
    <w:embedRegular r:id="rId4" w:fontKey="{99CB1C4C-FE93-40B9-B671-819D449C53B6}"/>
  </w:font>
  <w:font w:name="仿宋_GB2312">
    <w:panose1 w:val="02010609030101010101"/>
    <w:charset w:val="86"/>
    <w:family w:val="modern"/>
    <w:pitch w:val="default"/>
    <w:sig w:usb0="00000001" w:usb1="080E0000" w:usb2="00000000" w:usb3="00000000" w:csb0="00040000" w:csb1="00000000"/>
    <w:embedRegular r:id="rId5" w:fontKey="{303BF6E8-BA99-4B41-9A25-487B6820894A}"/>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4A17BB"/>
    <w:multiLevelType w:val="singleLevel"/>
    <w:tmpl w:val="024A17BB"/>
    <w:lvl w:ilvl="0" w:tentative="0">
      <w:start w:val="1"/>
      <w:numFmt w:val="chineseCounting"/>
      <w:suff w:val="nothing"/>
      <w:lvlText w:val="（%1）"/>
      <w:lvlJc w:val="left"/>
      <w:rPr>
        <w:rFonts w:hint="eastAsia"/>
      </w:rPr>
    </w:lvl>
  </w:abstractNum>
  <w:abstractNum w:abstractNumId="1">
    <w:nsid w:val="29BD9F6A"/>
    <w:multiLevelType w:val="singleLevel"/>
    <w:tmpl w:val="29BD9F6A"/>
    <w:lvl w:ilvl="0" w:tentative="0">
      <w:start w:val="2"/>
      <w:numFmt w:val="chineseCounting"/>
      <w:suff w:val="nothing"/>
      <w:lvlText w:val="（%1）"/>
      <w:lvlJc w:val="left"/>
      <w:rPr>
        <w:rFonts w:hint="eastAsia"/>
      </w:rPr>
    </w:lvl>
  </w:abstractNum>
  <w:abstractNum w:abstractNumId="2">
    <w:nsid w:val="37D8A846"/>
    <w:multiLevelType w:val="singleLevel"/>
    <w:tmpl w:val="37D8A846"/>
    <w:lvl w:ilvl="0" w:tentative="0">
      <w:start w:val="7"/>
      <w:numFmt w:val="chineseCounting"/>
      <w:suff w:val="nothing"/>
      <w:lvlText w:val="%1、"/>
      <w:lvlJc w:val="left"/>
      <w:rPr>
        <w:rFonts w:hint="eastAsia"/>
      </w:rPr>
    </w:lvl>
  </w:abstractNum>
  <w:abstractNum w:abstractNumId="3">
    <w:nsid w:val="61B79F31"/>
    <w:multiLevelType w:val="singleLevel"/>
    <w:tmpl w:val="61B79F31"/>
    <w:lvl w:ilvl="0" w:tentative="0">
      <w:start w:val="2"/>
      <w:numFmt w:val="chineseCounting"/>
      <w:suff w:val="nothing"/>
      <w:lvlText w:val="（%1）"/>
      <w:lvlJc w:val="left"/>
      <w:rPr>
        <w:rFonts w:hint="eastAsia"/>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JmNTAxYTA0NTllZTU0OWY5NWY0MWNlMzBjNGU2OTYifQ=="/>
    <w:docVar w:name="KSO_WPS_MARK_KEY" w:val="5ff4c4a1-2556-4b2f-ae1e-7815291f3938"/>
  </w:docVars>
  <w:rsids>
    <w:rsidRoot w:val="00000000"/>
    <w:rsid w:val="012352D1"/>
    <w:rsid w:val="01443250"/>
    <w:rsid w:val="0463574E"/>
    <w:rsid w:val="05094D59"/>
    <w:rsid w:val="05856AD5"/>
    <w:rsid w:val="05A62144"/>
    <w:rsid w:val="05D172D0"/>
    <w:rsid w:val="0A2C75C6"/>
    <w:rsid w:val="0AD82FD6"/>
    <w:rsid w:val="0B393364"/>
    <w:rsid w:val="10E12D5C"/>
    <w:rsid w:val="11AE1EA5"/>
    <w:rsid w:val="123A371E"/>
    <w:rsid w:val="13BD3541"/>
    <w:rsid w:val="17BC3977"/>
    <w:rsid w:val="1A815A3F"/>
    <w:rsid w:val="1AC35C43"/>
    <w:rsid w:val="1D9F113A"/>
    <w:rsid w:val="1E4772E4"/>
    <w:rsid w:val="1F59095F"/>
    <w:rsid w:val="1F7BF06F"/>
    <w:rsid w:val="1FEE4B73"/>
    <w:rsid w:val="20490B12"/>
    <w:rsid w:val="223E208E"/>
    <w:rsid w:val="22F05461"/>
    <w:rsid w:val="23CE9849"/>
    <w:rsid w:val="24092AB9"/>
    <w:rsid w:val="24A2422A"/>
    <w:rsid w:val="24E16169"/>
    <w:rsid w:val="290849D1"/>
    <w:rsid w:val="29812971"/>
    <w:rsid w:val="2A151926"/>
    <w:rsid w:val="2B3468C8"/>
    <w:rsid w:val="2B540E22"/>
    <w:rsid w:val="2BB0231B"/>
    <w:rsid w:val="2BC67657"/>
    <w:rsid w:val="2C432859"/>
    <w:rsid w:val="34366176"/>
    <w:rsid w:val="356B276A"/>
    <w:rsid w:val="36261C8A"/>
    <w:rsid w:val="372799D5"/>
    <w:rsid w:val="374B695A"/>
    <w:rsid w:val="39B12CEE"/>
    <w:rsid w:val="39F304DD"/>
    <w:rsid w:val="3A5B4689"/>
    <w:rsid w:val="428F69E5"/>
    <w:rsid w:val="43D17F40"/>
    <w:rsid w:val="44006340"/>
    <w:rsid w:val="451F53F6"/>
    <w:rsid w:val="466C2CC9"/>
    <w:rsid w:val="4A1066C3"/>
    <w:rsid w:val="4BFF5D6B"/>
    <w:rsid w:val="4CF25E59"/>
    <w:rsid w:val="4D00436F"/>
    <w:rsid w:val="521450F9"/>
    <w:rsid w:val="52BB0A0D"/>
    <w:rsid w:val="52CE0705"/>
    <w:rsid w:val="54244390"/>
    <w:rsid w:val="54662A63"/>
    <w:rsid w:val="54802A0E"/>
    <w:rsid w:val="58064E12"/>
    <w:rsid w:val="58980FF7"/>
    <w:rsid w:val="58E862D4"/>
    <w:rsid w:val="5A8E7F79"/>
    <w:rsid w:val="5BFEE015"/>
    <w:rsid w:val="5CE21E8F"/>
    <w:rsid w:val="60727FD9"/>
    <w:rsid w:val="60E7783E"/>
    <w:rsid w:val="61FC3A87"/>
    <w:rsid w:val="637D006C"/>
    <w:rsid w:val="63EDCF55"/>
    <w:rsid w:val="63FBFBCF"/>
    <w:rsid w:val="650D52EF"/>
    <w:rsid w:val="65307096"/>
    <w:rsid w:val="669360FD"/>
    <w:rsid w:val="68737AFB"/>
    <w:rsid w:val="68FF6A83"/>
    <w:rsid w:val="6AEF6005"/>
    <w:rsid w:val="6D3F1806"/>
    <w:rsid w:val="6E05302D"/>
    <w:rsid w:val="6E3DB48E"/>
    <w:rsid w:val="6ECB2735"/>
    <w:rsid w:val="6F822964"/>
    <w:rsid w:val="6FBBC9CF"/>
    <w:rsid w:val="714326B4"/>
    <w:rsid w:val="715D4C67"/>
    <w:rsid w:val="72BDE561"/>
    <w:rsid w:val="732019EA"/>
    <w:rsid w:val="737E1F98"/>
    <w:rsid w:val="7474691A"/>
    <w:rsid w:val="76D03AEA"/>
    <w:rsid w:val="78462278"/>
    <w:rsid w:val="78F148D9"/>
    <w:rsid w:val="794D28EF"/>
    <w:rsid w:val="7997EA6C"/>
    <w:rsid w:val="7AEAE675"/>
    <w:rsid w:val="7BAFCE5D"/>
    <w:rsid w:val="7BB73BB8"/>
    <w:rsid w:val="7C323AA3"/>
    <w:rsid w:val="7D46598C"/>
    <w:rsid w:val="7D9F8F0F"/>
    <w:rsid w:val="7DFB240B"/>
    <w:rsid w:val="7DFE05E7"/>
    <w:rsid w:val="7E0935ED"/>
    <w:rsid w:val="7F863FFD"/>
    <w:rsid w:val="7FCF2AF7"/>
    <w:rsid w:val="9FEF033D"/>
    <w:rsid w:val="A27FF1E5"/>
    <w:rsid w:val="AF3FEDDD"/>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88D0DC7"/>
    <w:rsid w:val="FAE4EFE1"/>
    <w:rsid w:val="FB9B6F12"/>
    <w:rsid w:val="FBB66A4A"/>
    <w:rsid w:val="FDEE6989"/>
    <w:rsid w:val="FF5E7DB8"/>
    <w:rsid w:val="FF77E367"/>
    <w:rsid w:val="FFD576EB"/>
    <w:rsid w:val="FFDB1578"/>
    <w:rsid w:val="FFFADE43"/>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10">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caption"/>
    <w:basedOn w:val="1"/>
    <w:next w:val="1"/>
    <w:qFormat/>
    <w:uiPriority w:val="0"/>
    <w:pPr>
      <w:widowControl w:val="0"/>
      <w:suppressLineNumbers/>
      <w:suppressAutoHyphens/>
      <w:spacing w:before="120" w:after="120"/>
    </w:pPr>
    <w:rPr>
      <w:i/>
      <w:iCs/>
      <w:sz w:val="24"/>
      <w:szCs w:val="24"/>
    </w:rPr>
  </w:style>
  <w:style w:type="paragraph" w:styleId="4">
    <w:name w:val="Body Text"/>
    <w:basedOn w:val="1"/>
    <w:qFormat/>
    <w:uiPriority w:val="0"/>
    <w:pPr>
      <w:spacing w:before="0" w:after="140" w:line="276" w:lineRule="auto"/>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4"/>
    <w:qFormat/>
    <w:uiPriority w:val="0"/>
  </w:style>
  <w:style w:type="paragraph" w:styleId="8">
    <w:name w:val="Normal (Web)"/>
    <w:basedOn w:val="1"/>
    <w:qFormat/>
    <w:uiPriority w:val="0"/>
    <w:rPr>
      <w:sz w:val="24"/>
    </w:rPr>
  </w:style>
  <w:style w:type="character" w:customStyle="1" w:styleId="11">
    <w:name w:val="默认段落字体1"/>
    <w:qFormat/>
    <w:uiPriority w:val="0"/>
  </w:style>
  <w:style w:type="paragraph" w:customStyle="1" w:styleId="12">
    <w:name w:val="Heading"/>
    <w:basedOn w:val="1"/>
    <w:next w:val="4"/>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3">
    <w:name w:val="Index"/>
    <w:basedOn w:val="1"/>
    <w:qFormat/>
    <w:uiPriority w:val="0"/>
    <w:pPr>
      <w:widowControl w:val="0"/>
      <w:suppressLineNumbers/>
      <w:suppressAutoHyphens/>
    </w:pPr>
  </w:style>
  <w:style w:type="character" w:customStyle="1" w:styleId="14">
    <w:name w:val="font101"/>
    <w:basedOn w:val="10"/>
    <w:qFormat/>
    <w:uiPriority w:val="0"/>
    <w:rPr>
      <w:rFonts w:ascii="Dialog . plain" w:hAnsi="Dialog . plain" w:eastAsia="Dialog . plain" w:cs="Dialog . plain"/>
      <w:color w:val="000000"/>
      <w:sz w:val="22"/>
      <w:szCs w:val="22"/>
      <w:u w:val="none"/>
    </w:rPr>
  </w:style>
  <w:style w:type="character" w:customStyle="1" w:styleId="15">
    <w:name w:val="font111"/>
    <w:basedOn w:val="10"/>
    <w:qFormat/>
    <w:uiPriority w:val="0"/>
    <w:rPr>
      <w:rFonts w:ascii="Dialog . bold" w:hAnsi="Dialog . bold" w:eastAsia="Dialog . bold" w:cs="Dialog . bold"/>
      <w:b/>
      <w:bCs/>
      <w:color w:val="000000"/>
      <w:sz w:val="22"/>
      <w:szCs w:val="22"/>
      <w:u w:val="none"/>
    </w:rPr>
  </w:style>
  <w:style w:type="character" w:customStyle="1" w:styleId="16">
    <w:name w:val="font61"/>
    <w:basedOn w:val="10"/>
    <w:qFormat/>
    <w:uiPriority w:val="0"/>
    <w:rPr>
      <w:rFonts w:ascii="Dialog . plain" w:hAnsi="Dialog . plain" w:eastAsia="Dialog . plain" w:cs="Dialog . plain"/>
      <w:color w:val="000000"/>
      <w:sz w:val="22"/>
      <w:szCs w:val="22"/>
      <w:u w:val="none"/>
    </w:rPr>
  </w:style>
  <w:style w:type="character" w:customStyle="1" w:styleId="17">
    <w:name w:val="font71"/>
    <w:basedOn w:val="10"/>
    <w:qFormat/>
    <w:uiPriority w:val="0"/>
    <w:rPr>
      <w:rFonts w:ascii="Dialog . plain" w:hAnsi="Dialog . plain" w:eastAsia="Dialog . plain" w:cs="Dialog . plain"/>
      <w:color w:val="000000"/>
      <w:sz w:val="22"/>
      <w:szCs w:val="22"/>
      <w:u w:val="none"/>
    </w:rPr>
  </w:style>
  <w:style w:type="character" w:customStyle="1" w:styleId="18">
    <w:name w:val="font51"/>
    <w:basedOn w:val="10"/>
    <w:qFormat/>
    <w:uiPriority w:val="0"/>
    <w:rPr>
      <w:rFonts w:ascii="Dialog . plain" w:hAnsi="Dialog . plain" w:eastAsia="Dialog . plain" w:cs="Dialog . plain"/>
      <w:color w:val="000000"/>
      <w:sz w:val="22"/>
      <w:szCs w:val="22"/>
      <w:u w:val="none"/>
    </w:rPr>
  </w:style>
  <w:style w:type="character" w:customStyle="1" w:styleId="19">
    <w:name w:val="font81"/>
    <w:basedOn w:val="10"/>
    <w:qFormat/>
    <w:uiPriority w:val="0"/>
    <w:rPr>
      <w:rFonts w:ascii="Dialog . plain" w:hAnsi="Dialog . plain" w:eastAsia="Dialog . plain" w:cs="Dialog . plain"/>
      <w:color w:val="000000"/>
      <w:sz w:val="22"/>
      <w:szCs w:val="22"/>
      <w:u w:val="none"/>
    </w:rPr>
  </w:style>
  <w:style w:type="paragraph" w:customStyle="1" w:styleId="20">
    <w:name w:val="WPSOffice手动目录 1"/>
    <w:uiPriority w:val="0"/>
    <w:pPr>
      <w:ind w:leftChars="0"/>
    </w:pPr>
    <w:rPr>
      <w:rFonts w:ascii="Times New Roman" w:hAnsi="Times New Roman" w:eastAsia="宋体" w:cs="Times New Roman"/>
      <w:sz w:val="20"/>
      <w:szCs w:val="20"/>
    </w:rPr>
  </w:style>
  <w:style w:type="paragraph" w:customStyle="1" w:styleId="21">
    <w:name w:val="WPSOffice手动目录 2"/>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15</Pages>
  <Words>6798</Words>
  <Characters>7116</Characters>
  <TotalTime>0</TotalTime>
  <ScaleCrop>false</ScaleCrop>
  <LinksUpToDate>false</LinksUpToDate>
  <CharactersWithSpaces>7223</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2018-11-30T01:47:00Z</dcterms:created>
  <dc:creator>admin</dc:creator>
  <cp:lastModifiedBy>dell</cp:lastModifiedBy>
  <cp:lastPrinted>2024-02-20T07:23:00Z</cp:lastPrinted>
  <dcterms:modified xsi:type="dcterms:W3CDTF">2024-03-03T16:48:30Z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96081F72B7444D3C8C1C7DDAED24732C_13</vt:lpwstr>
  </property>
</Properties>
</file>