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6" w:lineRule="exact"/>
        <w:jc w:val="left"/>
        <w:rPr>
          <w:rFonts w:ascii="黑体" w:hAnsi="黑体" w:eastAsia="黑体" w:cs="黑体"/>
          <w:color w:val="333333"/>
          <w:kern w:val="0"/>
          <w:sz w:val="32"/>
          <w:szCs w:val="48"/>
        </w:rPr>
      </w:pPr>
      <w:r>
        <w:rPr>
          <w:rFonts w:hint="eastAsia" w:ascii="黑体" w:hAnsi="黑体" w:eastAsia="黑体" w:cs="黑体"/>
          <w:color w:val="333333"/>
          <w:kern w:val="0"/>
          <w:sz w:val="32"/>
          <w:szCs w:val="48"/>
        </w:rPr>
        <w:t>附件1</w:t>
      </w:r>
    </w:p>
    <w:p>
      <w:pPr>
        <w:widowControl/>
        <w:shd w:val="clear" w:color="auto" w:fill="FFFFFF"/>
        <w:spacing w:line="576" w:lineRule="exact"/>
        <w:jc w:val="left"/>
        <w:rPr>
          <w:rFonts w:ascii="黑体" w:hAnsi="黑体" w:eastAsia="黑体" w:cs="黑体"/>
          <w:color w:val="333333"/>
          <w:kern w:val="0"/>
          <w:sz w:val="32"/>
          <w:szCs w:val="48"/>
        </w:rPr>
      </w:pPr>
    </w:p>
    <w:p>
      <w:pPr>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2019年广元市本级财政支出项目绩效评价</w:t>
      </w:r>
    </w:p>
    <w:p>
      <w:pPr>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得分表</w:t>
      </w:r>
    </w:p>
    <w:p>
      <w:pPr>
        <w:spacing w:line="576" w:lineRule="exact"/>
        <w:jc w:val="center"/>
        <w:rPr>
          <w:rFonts w:ascii="方正小标宋简体" w:hAnsi="方正小标宋简体" w:eastAsia="方正小标宋简体" w:cs="方正小标宋简体"/>
          <w:bCs/>
          <w:sz w:val="36"/>
          <w:szCs w:val="36"/>
        </w:rPr>
      </w:pPr>
    </w:p>
    <w:tbl>
      <w:tblPr>
        <w:tblStyle w:val="2"/>
        <w:tblW w:w="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410"/>
        <w:gridCol w:w="2551"/>
        <w:gridCol w:w="191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410"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黑体" w:hAnsi="黑体" w:eastAsia="黑体" w:cs="黑体"/>
                <w:sz w:val="24"/>
                <w:szCs w:val="24"/>
              </w:rPr>
            </w:pPr>
            <w:r>
              <w:rPr>
                <w:rFonts w:hint="eastAsia" w:ascii="黑体" w:hAnsi="黑体" w:eastAsia="黑体" w:cs="黑体"/>
                <w:sz w:val="24"/>
                <w:szCs w:val="24"/>
              </w:rPr>
              <w:t>项目名称</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黑体" w:hAnsi="黑体" w:eastAsia="黑体" w:cs="黑体"/>
                <w:sz w:val="24"/>
                <w:szCs w:val="24"/>
              </w:rPr>
            </w:pPr>
            <w:r>
              <w:rPr>
                <w:rFonts w:hint="eastAsia" w:ascii="黑体" w:hAnsi="黑体" w:eastAsia="黑体" w:cs="黑体"/>
                <w:sz w:val="24"/>
                <w:szCs w:val="24"/>
              </w:rPr>
              <w:t>主管部门</w:t>
            </w:r>
          </w:p>
        </w:tc>
        <w:tc>
          <w:tcPr>
            <w:tcW w:w="1916"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黑体" w:hAnsi="黑体" w:eastAsia="黑体" w:cs="黑体"/>
                <w:sz w:val="24"/>
                <w:szCs w:val="24"/>
              </w:rPr>
            </w:pPr>
            <w:r>
              <w:rPr>
                <w:rFonts w:hint="eastAsia" w:ascii="黑体" w:hAnsi="黑体" w:eastAsia="黑体" w:cs="黑体"/>
                <w:sz w:val="24"/>
                <w:szCs w:val="24"/>
              </w:rPr>
              <w:t>项目金额（万元）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黑体" w:hAnsi="黑体" w:eastAsia="黑体" w:cs="黑体"/>
                <w:sz w:val="24"/>
                <w:szCs w:val="24"/>
              </w:rPr>
            </w:pPr>
            <w:r>
              <w:rPr>
                <w:rFonts w:hint="eastAsia" w:ascii="黑体" w:hAnsi="黑体" w:eastAsia="黑体" w:cs="黑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广元食品饮料和有机农产品（西安）推介会</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市经济和信息化局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104.2</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废弃农膜收集和处理经费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市农业农村局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300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工商行政管理专项资金</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市市场监管局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287</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4</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青少年工作经费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共青团广元市委员会</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68</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5</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妇女儿童社会组织联盟建设</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市妇女联合会</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30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6</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法制教育体验馆建设经费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市司法局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45</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7</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电视新闻频道高清升级改造</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市广播电视台</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197.5</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8</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城镇污水城乡垃圾处理设施建设三年推进方案项目专项资金</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市住房城乡建设局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1600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9</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武则天名人文化传承舞台剧本创作</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文化艺术研究院</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30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10</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实验室搬迁改造经费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市粮油质监站</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122.02</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11</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全国禁毒示范城市创建专项经费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市公安局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50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12</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公益性初级应急救护“百万培训”</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市红十字会</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40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13</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动植物保护能力提升工程及农产品质检体系建设项目中央预算内投资支出预算</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市农业农村局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150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14</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公务车辆运行及维护费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市机关事务服务中心</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246</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15</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教师培训经费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市教育局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160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16</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广元市第七届职业技能竞赛经费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pacing w:val="-4"/>
                <w:sz w:val="24"/>
                <w:szCs w:val="24"/>
              </w:rPr>
            </w:pPr>
            <w:r>
              <w:rPr>
                <w:rFonts w:hint="eastAsia" w:ascii="仿宋_GB2312" w:eastAsia="仿宋_GB2312" w:cs="仿宋_GB2312"/>
                <w:spacing w:val="-4"/>
                <w:sz w:val="24"/>
                <w:szCs w:val="24"/>
              </w:rPr>
              <w:t>市人力资源社会保障局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50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17</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广元蓝皮书项目</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市社科联</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18</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《魅力中国城》竞演前期经费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市文化广电旅游局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300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19</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实训基地运转经费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市教育局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150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20</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暴雨洪涝灾害救灾应急补助中央预算内基建投资预算</w:t>
            </w:r>
            <w:r>
              <w:rPr>
                <w:rFonts w:hint="eastAsia" w:ascii="仿宋_GB2312" w:eastAsia="仿宋_GB2312" w:cs="仿宋_GB2312"/>
                <w:color w:val="000000"/>
                <w:kern w:val="0"/>
                <w:sz w:val="24"/>
                <w:szCs w:val="24"/>
              </w:rPr>
              <w:t>（广元市城区火焰滩堤防生态护坡水毁修复项目）</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市水利局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48</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21</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暴雨洪涝灾害救灾应急补助中央预算内基建投资预算</w:t>
            </w:r>
            <w:r>
              <w:rPr>
                <w:rFonts w:hint="eastAsia" w:ascii="仿宋_GB2312" w:eastAsia="仿宋_GB2312" w:cs="仿宋_GB2312"/>
                <w:color w:val="000000"/>
                <w:kern w:val="0"/>
                <w:sz w:val="24"/>
                <w:szCs w:val="24"/>
              </w:rPr>
              <w:t>（红星公园嘤鸣路中段水毁修复项目）</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市住房城乡建设局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32</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22</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国道212线广元市青川县罐子沟（甘肃界）至利州区宝轮段改建工程</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市交通运输局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17584</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23</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2018年森林保护项目中央预算内投资支出预算</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市林业局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765.87</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24</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国道212线宝轮至卫子段公路改建工程</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广元市交通投资集团有限公司</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30000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25</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兴安初级中学</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市教育局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4500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26</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暴雨洪涝灾害救灾应急补助中央预算内基建投资预算</w:t>
            </w:r>
            <w:r>
              <w:rPr>
                <w:rFonts w:hint="eastAsia" w:ascii="仿宋_GB2312" w:eastAsia="仿宋_GB2312" w:cs="仿宋_GB2312"/>
                <w:color w:val="000000"/>
                <w:kern w:val="0"/>
                <w:sz w:val="24"/>
                <w:szCs w:val="24"/>
              </w:rPr>
              <w:t>（万缘20号路排洪沟水毁修复项目）</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市住房城乡建设局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27</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081产业新城一、二号安置点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市国投公司</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2753</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28</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第一批环境保护专项资金</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市城管执法局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660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29</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城市北入口提升工程</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市城投公司</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1000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30</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第四届全国经济普查经费</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市统计局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110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31</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嘉陵江流域上游（广元回龙河段）水环境综合治理一期工程</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利</w:t>
            </w:r>
            <w:r>
              <w:rPr>
                <w:rFonts w:hint="eastAsia" w:ascii="仿宋_GB2312" w:eastAsia="仿宋_GB2312" w:cs="仿宋_GB2312"/>
                <w:spacing w:val="-4"/>
                <w:sz w:val="24"/>
                <w:szCs w:val="24"/>
              </w:rPr>
              <w:t>州区住房城乡建设局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500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32</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育才北路跨线桥</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市城投公司</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2500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33</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供销社发展资金</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市供销社</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120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34</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工业发展专项资金</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市经济和信息化局</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200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35</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公租房运行管理</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市房产经营公司</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200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79.47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36</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上石盘库区管网提升整治</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广元市园区建设投资有限公司</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410</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8" w:type="dxa"/>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37</w:t>
            </w:r>
          </w:p>
        </w:tc>
        <w:tc>
          <w:tcPr>
            <w:tcW w:w="3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s="仿宋_GB2312"/>
                <w:sz w:val="24"/>
                <w:szCs w:val="24"/>
              </w:rPr>
            </w:pPr>
            <w:r>
              <w:rPr>
                <w:rFonts w:hint="eastAsia" w:ascii="仿宋_GB2312" w:eastAsia="仿宋_GB2312" w:cs="仿宋_GB2312"/>
                <w:sz w:val="24"/>
                <w:szCs w:val="24"/>
              </w:rPr>
              <w:t>市级公立医院改革配套资金</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市中心医院</w:t>
            </w:r>
          </w:p>
        </w:tc>
        <w:tc>
          <w:tcPr>
            <w:tcW w:w="19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233.613</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cs="仿宋_GB2312"/>
                <w:sz w:val="24"/>
                <w:szCs w:val="24"/>
              </w:rPr>
            </w:pPr>
            <w:r>
              <w:rPr>
                <w:rFonts w:hint="eastAsia" w:ascii="仿宋_GB2312" w:eastAsia="仿宋_GB2312" w:cs="仿宋_GB2312"/>
                <w:sz w:val="24"/>
                <w:szCs w:val="24"/>
              </w:rPr>
              <w:t>政策评价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0" w:type="dxa"/>
            <w:gridSpan w:val="5"/>
            <w:tcBorders>
              <w:top w:val="single" w:color="auto" w:sz="4" w:space="0"/>
              <w:left w:val="single" w:color="auto" w:sz="4" w:space="0"/>
              <w:bottom w:val="single" w:color="auto" w:sz="4" w:space="0"/>
              <w:right w:val="single" w:color="auto" w:sz="4" w:space="0"/>
            </w:tcBorders>
            <w:vAlign w:val="center"/>
          </w:tcPr>
          <w:p>
            <w:pPr>
              <w:spacing w:line="576" w:lineRule="exact"/>
              <w:jc w:val="center"/>
              <w:rPr>
                <w:rFonts w:ascii="仿宋_GB2312" w:eastAsia="仿宋_GB2312" w:cs="仿宋_GB2312"/>
                <w:sz w:val="24"/>
                <w:szCs w:val="24"/>
              </w:rPr>
            </w:pPr>
            <w:r>
              <w:rPr>
                <w:rFonts w:hint="eastAsia" w:ascii="仿宋_GB2312" w:eastAsia="仿宋_GB2312" w:cs="仿宋_GB2312"/>
                <w:sz w:val="24"/>
                <w:szCs w:val="24"/>
              </w:rPr>
              <w:t>项目合计金额：65726.203万元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0" w:type="dxa"/>
            <w:gridSpan w:val="5"/>
            <w:tcBorders>
              <w:top w:val="single" w:color="auto" w:sz="4" w:space="0"/>
              <w:left w:val="single" w:color="auto" w:sz="4" w:space="0"/>
              <w:bottom w:val="single" w:color="auto" w:sz="4" w:space="0"/>
              <w:right w:val="single" w:color="auto" w:sz="4" w:space="0"/>
            </w:tcBorders>
            <w:vAlign w:val="center"/>
          </w:tcPr>
          <w:p>
            <w:pPr>
              <w:widowControl/>
              <w:spacing w:line="576" w:lineRule="exact"/>
              <w:jc w:val="center"/>
              <w:rPr>
                <w:rFonts w:ascii="仿宋_GB2312" w:eastAsia="仿宋_GB2312" w:cs="仿宋_GB2312"/>
                <w:sz w:val="24"/>
                <w:szCs w:val="24"/>
              </w:rPr>
            </w:pPr>
            <w:r>
              <w:rPr>
                <w:rFonts w:hint="eastAsia" w:ascii="仿宋_GB2312" w:eastAsia="仿宋_GB2312" w:cs="仿宋_GB2312"/>
                <w:sz w:val="24"/>
                <w:szCs w:val="24"/>
              </w:rPr>
              <w:t>平均得分：90.11分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C2C1B"/>
    <w:rsid w:val="058C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2020-09-29T09:20:00Z</dcterms:created>
  <dc:creator>.</dc:creator>
  <cp:lastModifiedBy>.</cp:lastModifiedBy>
  <dcterms:modified xsi:type="dcterms:W3CDTF">2020-09-29T09:21:43Z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